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0822D">
      <w:pPr>
        <w:jc w:val="center"/>
        <w:rPr>
          <w:rFonts w:hint="eastAsia" w:ascii="方正小标宋简体" w:eastAsia="方正小标宋简体"/>
          <w:b/>
          <w:bCs/>
          <w:sz w:val="44"/>
          <w:szCs w:val="44"/>
        </w:rPr>
      </w:pPr>
      <w:r>
        <w:rPr>
          <w:rFonts w:hint="eastAsia" w:ascii="方正小标宋简体" w:eastAsia="方正小标宋简体"/>
          <w:b/>
          <w:bCs/>
          <w:sz w:val="44"/>
          <w:szCs w:val="44"/>
        </w:rPr>
        <w:t>2023级高校毕业生职业技能等级培训与考试实施方案</w:t>
      </w:r>
    </w:p>
    <w:p w14:paraId="58754920">
      <w:pPr>
        <w:rPr>
          <w:sz w:val="28"/>
          <w:szCs w:val="28"/>
        </w:rPr>
      </w:pPr>
    </w:p>
    <w:p w14:paraId="55162528">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为深入贯彻落实国家关于促进高校毕业生就业创业的决策部署，提升毕业生职业技能水平和就业竞争力，实现更高质量和更充分就业，特面向2023级毕业生开展职业技能等级培训与考试工作。本方案遵循“学生自愿、学院组织、考培分离、突出实效”的原则制定。</w:t>
      </w:r>
    </w:p>
    <w:p w14:paraId="639B9C41">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一、目的与意义</w:t>
      </w:r>
    </w:p>
    <w:p w14:paraId="3FFE9198">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（一）提升技能水平：针对市场需求和专业特点，强化学生的实践操作能力和专业技术技能。</w:t>
      </w:r>
    </w:p>
    <w:p w14:paraId="435E9838">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（二）增强就业竞争力：帮助学生获得权威认证的职业技能等级证书，丰富个人简历，拓宽就业渠道。</w:t>
      </w:r>
    </w:p>
    <w:p w14:paraId="10CB2088">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（三）服务学生发展：为学生提供多元化成长路径，支持其根据自身发展规划自愿选择参与。</w:t>
      </w:r>
    </w:p>
    <w:p w14:paraId="72DE0D57">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二、组织机构与职责</w:t>
      </w:r>
    </w:p>
    <w:p w14:paraId="4EC0BEF7">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（一）领导小组：</w:t>
      </w:r>
    </w:p>
    <w:p w14:paraId="18EC3C2D">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由继续教育学院牵头、教务处、学生工作部、各二级学院负责人组成的专项工作领导小组，负责整体规划、政策协调与监督实施。</w:t>
      </w:r>
    </w:p>
    <w:p w14:paraId="51AA8D66">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（二）继续教育学院（统筹协调单位）：</w:t>
      </w:r>
    </w:p>
    <w:p w14:paraId="2004BD02">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1.负责全校范围内考试工作的整体统筹、协调与组织管理。</w:t>
      </w:r>
    </w:p>
    <w:p w14:paraId="32512F60">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2.负责与上级职业技能鉴定指导中心或相关评价组织的对接、备案、考务管理系统维护。</w:t>
      </w:r>
    </w:p>
    <w:p w14:paraId="75E70401">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3.负责统一安排考试时间、场地、监考人员，协调考评员队伍。</w:t>
      </w:r>
    </w:p>
    <w:p w14:paraId="726ACD6A">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4.负责证书申请、审核、制作及发放的统一管理。</w:t>
      </w:r>
    </w:p>
    <w:p w14:paraId="1D9DDD81">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5.负责考试费用的收取与管理。</w:t>
      </w:r>
    </w:p>
    <w:p w14:paraId="04B0FC49">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（三）各二级学院（培训实施单位）：</w:t>
      </w:r>
    </w:p>
    <w:p w14:paraId="170354D2">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1.负责本学院相关专业领域技能等级培训的具体组织实施工作，培训考试工种见附件</w:t>
      </w:r>
      <w:r>
        <w:rPr>
          <w:rFonts w:hint="eastAsia" w:ascii="方正仿宋_GBK" w:eastAsia="方正仿宋_GBK"/>
          <w:b/>
          <w:bCs/>
          <w:sz w:val="32"/>
          <w:szCs w:val="32"/>
        </w:rPr>
        <w:t>。</w:t>
      </w:r>
    </w:p>
    <w:p w14:paraId="7B5D03CD">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2.负责根据国家职业标准、行业规范及市场需求，制定并上报本学院培训方案。</w:t>
      </w:r>
    </w:p>
    <w:p w14:paraId="42253E40">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3.负责组织动员学生，接受学生报名（区分“培训+考试”和“只考试”两类）。</w:t>
      </w:r>
    </w:p>
    <w:p w14:paraId="0AE6312E">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4.负责选拔与聘用具备资</w:t>
      </w:r>
      <w:bookmarkStart w:id="0" w:name="_GoBack"/>
      <w:bookmarkEnd w:id="0"/>
      <w:r>
        <w:rPr>
          <w:rFonts w:hint="eastAsia" w:ascii="方正仿宋_GBK" w:eastAsia="方正仿宋_GBK"/>
          <w:sz w:val="32"/>
          <w:szCs w:val="32"/>
        </w:rPr>
        <w:t>质的培训师资（可邀请行业企业专家）。</w:t>
      </w:r>
    </w:p>
    <w:p w14:paraId="1563FCB8">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5.负责培训过程的教学管理、学员管理与安全保障。</w:t>
      </w:r>
    </w:p>
    <w:p w14:paraId="6EDB118A">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6.协助继续教育学院做好本学院学生的考试报名组织工作。</w:t>
      </w:r>
    </w:p>
    <w:p w14:paraId="0138ABED">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三、培训与考试安排</w:t>
      </w:r>
    </w:p>
    <w:p w14:paraId="64CFCA29">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（一）参与对象：2023级全体应届毕业生，本着自愿原则参加。</w:t>
      </w:r>
    </w:p>
    <w:p w14:paraId="47E4642D">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1.选项A：参加培训+参加考试</w:t>
      </w:r>
    </w:p>
    <w:p w14:paraId="483583F8">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2.选项B：直接参加考试（需自行备考，达到相应技能水平）</w:t>
      </w:r>
    </w:p>
    <w:p w14:paraId="6BADDD80">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（二）培训工作：</w:t>
      </w:r>
    </w:p>
    <w:p w14:paraId="7BCC368E">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1.组织单位：各二级学院</w:t>
      </w:r>
    </w:p>
    <w:p w14:paraId="2BE9334B">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2.内容与形式：由各二级学院根据所开设技能等级证书的要求，紧密结合专业特色，制定针对性强的培训内容。可采用理论讲授、实操训练等形式。</w:t>
      </w:r>
    </w:p>
    <w:p w14:paraId="1AAEE57C">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3.时间安排：培训考试时间为9月-12月课余时间，具体由各学院在方案中明确，总培训课时为24节课。</w:t>
      </w:r>
    </w:p>
    <w:p w14:paraId="32387DCE">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4.师资保障：由各学院选派优秀专业教师或聘请行业专家担任培训讲师。</w:t>
      </w:r>
    </w:p>
    <w:p w14:paraId="55AE6B10">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5.学员管理：由各学院选派培训班级班主任对培训期间学员进行管理，按照继续教育学院要求收集、上报相关资料。</w:t>
      </w:r>
    </w:p>
    <w:p w14:paraId="47EA99BB">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（三）考试工作：</w:t>
      </w:r>
    </w:p>
    <w:p w14:paraId="61D290F0">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1.组织单位：继续教育学院</w:t>
      </w:r>
    </w:p>
    <w:p w14:paraId="5BFB70CA">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2.报名：由二级学院组织报名，以学院为单位，将报名申报资料交给继续教育学院。</w:t>
      </w:r>
    </w:p>
    <w:p w14:paraId="61EAA5F8">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3.考试形式：包括理论知识考试和操作技能考核，具体形式根据证书类型确定。</w:t>
      </w:r>
    </w:p>
    <w:p w14:paraId="5E482859">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4.时间安排：由继续教育学院根据整体工作进度，在培训周期结束后安排考试时间，并提前公布。</w:t>
      </w:r>
    </w:p>
    <w:p w14:paraId="60337AD8">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5.地点安排：由各二级学院提供考场及所需设备设施。</w:t>
      </w:r>
    </w:p>
    <w:p w14:paraId="5EC10F93">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6.考评员：由继续教育学院委派经认证的考评员执行考评工作。</w:t>
      </w:r>
    </w:p>
    <w:p w14:paraId="5F9B2B21">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四、证书颁发</w:t>
      </w:r>
    </w:p>
    <w:p w14:paraId="79224875">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学生参加统一组织的考试，理论知识考试和操作技能考核成绩均合格者，颁发相应等级的职业技能等级证书。一科不合格者，可以参加一次补考。证书信息纳入人才统计和认定范围，可在国家相关官网查询。</w:t>
      </w:r>
    </w:p>
    <w:p w14:paraId="24C18805">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六、保障措施</w:t>
      </w:r>
    </w:p>
    <w:p w14:paraId="665D41FF">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（一）政策保障：学校提供必要的政策支持，协调教师完成培训工作。</w:t>
      </w:r>
    </w:p>
    <w:p w14:paraId="2F9331A1">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（二）经费保障：考试费按照渝工信职院(2024)37号执行；培训费根据市教委备案通过的重庆工信职业学院非学历教育收费标准执行（收费标准见附件），规范使用管理。学校对参与的老师进行补贴。</w:t>
      </w:r>
    </w:p>
    <w:p w14:paraId="1460F12A">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（三）资源保障：各学院、实验实训中心、信息中心等需保障培训与考试所需的场地、设备、网络等条件。</w:t>
      </w:r>
    </w:p>
    <w:p w14:paraId="75953C7B">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（四）质量保障：加强培训过程监督和考试纪律管理，确保培训质量和证书公信力。</w:t>
      </w:r>
    </w:p>
    <w:p w14:paraId="6E4704C9">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七、其他</w:t>
      </w:r>
    </w:p>
    <w:p w14:paraId="12D7729A">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（一）各二级学院应高度重视，精心组织，确保培训内容扎实、有效。</w:t>
      </w:r>
    </w:p>
    <w:p w14:paraId="4BF0FC41">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（二）继续教育学院应做好服务工作，确保考试环节公平、公正、顺畅。</w:t>
      </w:r>
    </w:p>
    <w:p w14:paraId="630A7F02">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（三）加强安全教育，落实安全责任，确保培训与考试期间的人员与设备安全。</w:t>
      </w:r>
    </w:p>
    <w:p w14:paraId="104466F1">
      <w:pPr>
        <w:spacing w:line="500" w:lineRule="exact"/>
        <w:ind w:firstLine="640" w:firstLineChars="200"/>
        <w:rPr>
          <w:rFonts w:hint="eastAsia" w:ascii="方正仿宋_GBK" w:eastAsia="方正仿宋_GBK"/>
          <w:sz w:val="32"/>
          <w:szCs w:val="32"/>
        </w:rPr>
      </w:pPr>
      <w:r>
        <w:rPr>
          <w:rFonts w:hint="eastAsia" w:ascii="方正仿宋_GBK" w:eastAsia="方正仿宋_GBK"/>
          <w:sz w:val="32"/>
          <w:szCs w:val="32"/>
        </w:rPr>
        <w:t>本方案由继续教育学院会同相关部门负责解释。</w:t>
      </w:r>
    </w:p>
    <w:p w14:paraId="488C5CDF">
      <w:pPr>
        <w:rPr>
          <w:sz w:val="28"/>
          <w:szCs w:val="28"/>
        </w:rPr>
      </w:pPr>
    </w:p>
    <w:p w14:paraId="6CE3C243">
      <w:pPr>
        <w:rPr>
          <w:sz w:val="28"/>
          <w:szCs w:val="28"/>
        </w:rPr>
      </w:pPr>
    </w:p>
    <w:p w14:paraId="3C49B0E0">
      <w:pPr>
        <w:rPr>
          <w:sz w:val="28"/>
          <w:szCs w:val="28"/>
        </w:rPr>
      </w:pPr>
    </w:p>
    <w:p w14:paraId="6857C46A">
      <w:pPr>
        <w:rPr>
          <w:sz w:val="28"/>
          <w:szCs w:val="28"/>
        </w:rPr>
      </w:pPr>
    </w:p>
    <w:p w14:paraId="2F204036">
      <w:pPr>
        <w:rPr>
          <w:sz w:val="28"/>
          <w:szCs w:val="28"/>
        </w:rPr>
      </w:pPr>
    </w:p>
    <w:p w14:paraId="189A1AA6">
      <w:pPr>
        <w:rPr>
          <w:sz w:val="28"/>
          <w:szCs w:val="28"/>
        </w:rPr>
      </w:pPr>
    </w:p>
    <w:p w14:paraId="0C180131">
      <w:pPr>
        <w:rPr>
          <w:sz w:val="28"/>
          <w:szCs w:val="28"/>
        </w:rPr>
      </w:pPr>
    </w:p>
    <w:p w14:paraId="613581DC">
      <w:pPr>
        <w:rPr>
          <w:sz w:val="28"/>
          <w:szCs w:val="28"/>
        </w:rPr>
      </w:pPr>
    </w:p>
    <w:p w14:paraId="5DC31617">
      <w:pPr>
        <w:rPr>
          <w:sz w:val="28"/>
          <w:szCs w:val="28"/>
        </w:rPr>
      </w:pPr>
    </w:p>
    <w:p w14:paraId="6F07BFEA">
      <w:pPr>
        <w:rPr>
          <w:sz w:val="28"/>
          <w:szCs w:val="28"/>
        </w:rPr>
      </w:pPr>
    </w:p>
    <w:p w14:paraId="26211FA3">
      <w:pPr>
        <w:rPr>
          <w:sz w:val="28"/>
          <w:szCs w:val="28"/>
        </w:rPr>
      </w:pPr>
    </w:p>
    <w:p w14:paraId="0090003C">
      <w:pPr>
        <w:rPr>
          <w:sz w:val="28"/>
          <w:szCs w:val="28"/>
        </w:rPr>
      </w:pPr>
    </w:p>
    <w:p w14:paraId="69D32D2C">
      <w:pPr>
        <w:rPr>
          <w:sz w:val="28"/>
          <w:szCs w:val="28"/>
        </w:rPr>
      </w:pPr>
    </w:p>
    <w:p w14:paraId="68BA4363">
      <w:pPr>
        <w:rPr>
          <w:sz w:val="28"/>
          <w:szCs w:val="28"/>
        </w:rPr>
      </w:pPr>
    </w:p>
    <w:p w14:paraId="4CEF473B">
      <w:pPr>
        <w:rPr>
          <w:rFonts w:hint="eastAsia"/>
          <w:sz w:val="28"/>
          <w:szCs w:val="28"/>
        </w:rPr>
      </w:pPr>
    </w:p>
    <w:p w14:paraId="016BACEC">
      <w:pPr>
        <w:rPr>
          <w:sz w:val="28"/>
          <w:szCs w:val="28"/>
        </w:rPr>
      </w:pPr>
    </w:p>
    <w:p w14:paraId="1463ADBB">
      <w:pPr>
        <w:spacing w:line="500" w:lineRule="exact"/>
        <w:ind w:firstLine="640" w:firstLineChars="200"/>
        <w:rPr>
          <w:rFonts w:ascii="方正仿宋_GBK" w:eastAsia="方正仿宋_GBK"/>
          <w:sz w:val="32"/>
          <w:szCs w:val="32"/>
        </w:rPr>
      </w:pPr>
    </w:p>
    <w:sectPr>
      <w:pgSz w:w="11906" w:h="16838"/>
      <w:pgMar w:top="1440" w:right="1800" w:bottom="1440" w:left="1800" w:header="851" w:footer="992" w:gutter="0"/>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210"/>
  <w:drawingGridVerticalSpacing w:val="194"/>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01015CE"/>
    <w:rsid w:val="005E7B6D"/>
    <w:rsid w:val="00A51BE7"/>
    <w:rsid w:val="00C1418A"/>
    <w:rsid w:val="00D50B58"/>
    <w:rsid w:val="00F42F59"/>
    <w:rsid w:val="07011CC2"/>
    <w:rsid w:val="07644792"/>
    <w:rsid w:val="09284798"/>
    <w:rsid w:val="0F2B6FD9"/>
    <w:rsid w:val="10F40C04"/>
    <w:rsid w:val="12957DC8"/>
    <w:rsid w:val="174B7A60"/>
    <w:rsid w:val="183C240D"/>
    <w:rsid w:val="1AA24D9F"/>
    <w:rsid w:val="1B6463C1"/>
    <w:rsid w:val="28DA2E89"/>
    <w:rsid w:val="2A4254F9"/>
    <w:rsid w:val="2D1F32F4"/>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after="220"/>
      <w:outlineLvl w:val="0"/>
    </w:pPr>
    <w:rPr>
      <w:b/>
      <w:kern w:val="44"/>
      <w:sz w:val="36"/>
    </w:rPr>
  </w:style>
  <w:style w:type="paragraph" w:styleId="3">
    <w:name w:val="heading 2"/>
    <w:basedOn w:val="1"/>
    <w:next w:val="1"/>
    <w:unhideWhenUsed/>
    <w:qFormat/>
    <w:uiPriority w:val="0"/>
    <w:pPr>
      <w:keepNext/>
      <w:keepLines/>
      <w:spacing w:before="260" w:after="200"/>
      <w:outlineLvl w:val="1"/>
    </w:pPr>
    <w:rPr>
      <w:b/>
      <w:sz w:val="32"/>
    </w:rPr>
  </w:style>
  <w:style w:type="paragraph" w:styleId="4">
    <w:name w:val="heading 3"/>
    <w:basedOn w:val="1"/>
    <w:next w:val="1"/>
    <w:unhideWhenUsed/>
    <w:qFormat/>
    <w:uiPriority w:val="0"/>
    <w:pPr>
      <w:keepNext/>
      <w:keepLines/>
      <w:spacing w:before="260" w:after="180"/>
      <w:outlineLvl w:val="2"/>
    </w:pPr>
    <w:rPr>
      <w:b/>
      <w:sz w:val="30"/>
    </w:rPr>
  </w:style>
  <w:style w:type="paragraph" w:styleId="5">
    <w:name w:val="heading 4"/>
    <w:basedOn w:val="1"/>
    <w:next w:val="1"/>
    <w:unhideWhenUsed/>
    <w:qFormat/>
    <w:uiPriority w:val="0"/>
    <w:pPr>
      <w:keepNext/>
      <w:keepLines/>
      <w:spacing w:before="240" w:after="160"/>
      <w:outlineLvl w:val="3"/>
    </w:pPr>
    <w:rPr>
      <w:b/>
      <w:sz w:val="28"/>
    </w:rPr>
  </w:style>
  <w:style w:type="paragraph" w:styleId="6">
    <w:name w:val="heading 5"/>
    <w:basedOn w:val="1"/>
    <w:next w:val="1"/>
    <w:unhideWhenUsed/>
    <w:qFormat/>
    <w:uiPriority w:val="0"/>
    <w:pPr>
      <w:keepNext/>
      <w:keepLines/>
      <w:spacing w:before="240" w:after="160"/>
      <w:outlineLvl w:val="4"/>
    </w:pPr>
    <w:rPr>
      <w:b/>
      <w:sz w:val="28"/>
    </w:rPr>
  </w:style>
  <w:style w:type="paragraph" w:styleId="7">
    <w:name w:val="heading 6"/>
    <w:basedOn w:val="1"/>
    <w:next w:val="1"/>
    <w:unhideWhenUsed/>
    <w:qFormat/>
    <w:uiPriority w:val="0"/>
    <w:pPr>
      <w:keepNext/>
      <w:keepLines/>
      <w:spacing w:before="240" w:after="120"/>
      <w:outlineLvl w:val="5"/>
    </w:pPr>
    <w:rPr>
      <w:b/>
      <w:sz w:val="24"/>
    </w:rPr>
  </w:style>
  <w:style w:type="paragraph" w:styleId="8">
    <w:name w:val="heading 7"/>
    <w:basedOn w:val="1"/>
    <w:next w:val="1"/>
    <w:unhideWhenUsed/>
    <w:qFormat/>
    <w:uiPriority w:val="0"/>
    <w:pPr>
      <w:keepNext/>
      <w:keepLines/>
      <w:spacing w:before="240" w:after="120"/>
      <w:outlineLvl w:val="6"/>
    </w:pPr>
    <w:rPr>
      <w:b/>
      <w:sz w:val="24"/>
    </w:rPr>
  </w:style>
  <w:style w:type="paragraph" w:styleId="9">
    <w:name w:val="heading 8"/>
    <w:basedOn w:val="1"/>
    <w:next w:val="1"/>
    <w:unhideWhenUsed/>
    <w:qFormat/>
    <w:uiPriority w:val="0"/>
    <w:pPr>
      <w:keepNext/>
      <w:keepLines/>
      <w:spacing w:before="180" w:after="64"/>
      <w:outlineLvl w:val="7"/>
    </w:pPr>
    <w:rPr>
      <w:sz w:val="24"/>
    </w:rPr>
  </w:style>
  <w:style w:type="paragraph" w:styleId="10">
    <w:name w:val="heading 9"/>
    <w:basedOn w:val="1"/>
    <w:next w:val="1"/>
    <w:unhideWhenUsed/>
    <w:qFormat/>
    <w:uiPriority w:val="0"/>
    <w:pPr>
      <w:keepNext/>
      <w:keepLines/>
      <w:spacing w:before="180" w:after="64"/>
      <w:outlineLvl w:val="8"/>
    </w:p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2143</Words>
  <Characters>2276</Characters>
  <Lines>688</Lines>
  <Paragraphs>359</Paragraphs>
  <TotalTime>110</TotalTime>
  <ScaleCrop>false</ScaleCrop>
  <LinksUpToDate>false</LinksUpToDate>
  <CharactersWithSpaces>2276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Administrator</dc:creator>
  <cp:lastModifiedBy>zhouyin</cp:lastModifiedBy>
  <dcterms:modified xsi:type="dcterms:W3CDTF">2025-09-25T01:41:18Z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eyJoZGlkIjoiMzhlM2Q3YzBhODUzZjAyZDAyMTlhNTI3YTczNzA0NjciLCJ1c2VySWQiOiI0MDcwMjk1NzgifQ==</vt:lpwstr>
  </property>
  <property fmtid="{D5CDD505-2E9C-101B-9397-08002B2CF9AE}" pid="6" name="ICV">
    <vt:lpwstr>E731C4CBDD074202BCD913052F962383_12</vt:lpwstr>
  </property>
</Properties>
</file>