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81711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重庆工信职业学院</w:t>
      </w:r>
    </w:p>
    <w:p w14:paraId="534B53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青年教师教学能力提升工坊实施方案</w:t>
      </w:r>
    </w:p>
    <w:p w14:paraId="77FF51A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简体" w:cs="Times New Roman"/>
          <w:sz w:val="44"/>
          <w:szCs w:val="44"/>
        </w:rPr>
      </w:pPr>
    </w:p>
    <w:p w14:paraId="1B444132">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val="en-US" w:eastAsia="zh-CN"/>
        </w:rPr>
        <w:t>实施</w:t>
      </w:r>
      <w:r>
        <w:rPr>
          <w:rFonts w:hint="eastAsia" w:ascii="黑体" w:hAnsi="黑体" w:eastAsia="黑体" w:cs="黑体"/>
          <w:sz w:val="32"/>
          <w:szCs w:val="32"/>
        </w:rPr>
        <w:t>背景</w:t>
      </w:r>
    </w:p>
    <w:p w14:paraId="1BEE27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（一）学校师资队伍现状分析</w:t>
      </w:r>
    </w:p>
    <w:p w14:paraId="054271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1.师资队伍基本情况</w:t>
      </w:r>
    </w:p>
    <w:p w14:paraId="31D4C7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学校现有专</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兼职教师420人，具有高校教师资格证书教师128人</w:t>
      </w:r>
      <w:r>
        <w:rPr>
          <w:rFonts w:hint="default" w:ascii="Times New Roman" w:hAnsi="Times New Roman" w:eastAsia="方正仿宋_GB2312" w:cs="Times New Roman"/>
          <w:sz w:val="32"/>
          <w:szCs w:val="32"/>
          <w:lang w:eastAsia="zh-CN"/>
        </w:rPr>
        <w:t>，占比30.48%</w:t>
      </w:r>
      <w:r>
        <w:rPr>
          <w:rFonts w:hint="default" w:ascii="Times New Roman" w:hAnsi="Times New Roman" w:eastAsia="方正仿宋_GB2312" w:cs="Times New Roman"/>
          <w:sz w:val="32"/>
          <w:szCs w:val="32"/>
        </w:rPr>
        <w:t>。从年龄结构来看，</w:t>
      </w:r>
      <w:r>
        <w:rPr>
          <w:rFonts w:hint="default" w:ascii="Times New Roman" w:hAnsi="Times New Roman" w:eastAsia="方正仿宋_GB2312" w:cs="Times New Roman"/>
          <w:b/>
          <w:bCs/>
          <w:sz w:val="32"/>
          <w:szCs w:val="32"/>
          <w:u w:val="single"/>
        </w:rPr>
        <w:t>35岁以下青年教师180人</w:t>
      </w:r>
      <w:r>
        <w:rPr>
          <w:rFonts w:hint="default" w:ascii="Times New Roman" w:hAnsi="Times New Roman" w:eastAsia="方正仿宋_GB2312" w:cs="Times New Roman"/>
          <w:sz w:val="32"/>
          <w:szCs w:val="32"/>
        </w:rPr>
        <w:t>，占比高达42.86%，构成了学校教师队伍的主体力量。</w:t>
      </w:r>
      <w:r>
        <w:rPr>
          <w:rFonts w:hint="default" w:ascii="Times New Roman" w:hAnsi="Times New Roman" w:eastAsia="方正仿宋_GB2312" w:cs="Times New Roman"/>
          <w:b/>
          <w:bCs/>
          <w:sz w:val="32"/>
          <w:szCs w:val="32"/>
          <w:u w:val="single"/>
        </w:rPr>
        <w:t>近三年新进教师100人，占比23.81%</w:t>
      </w:r>
      <w:r>
        <w:rPr>
          <w:rFonts w:hint="default" w:ascii="Times New Roman" w:hAnsi="Times New Roman" w:eastAsia="方正仿宋_GB2312" w:cs="Times New Roman"/>
          <w:b/>
          <w:bCs/>
          <w:sz w:val="32"/>
          <w:szCs w:val="32"/>
          <w:u w:val="single"/>
          <w:lang w:eastAsia="zh-CN"/>
        </w:rPr>
        <w:t>，</w:t>
      </w:r>
      <w:r>
        <w:rPr>
          <w:rFonts w:hint="default" w:ascii="Times New Roman" w:hAnsi="Times New Roman" w:eastAsia="方正仿宋_GB2312" w:cs="Times New Roman"/>
          <w:b/>
          <w:bCs/>
          <w:sz w:val="32"/>
          <w:szCs w:val="32"/>
          <w:u w:val="single"/>
        </w:rPr>
        <w:t>其中90%以上为35岁以下青年教师，整体任教年限较短，教学经验相对不足</w:t>
      </w:r>
      <w:r>
        <w:rPr>
          <w:rFonts w:hint="default" w:ascii="Times New Roman" w:hAnsi="Times New Roman" w:eastAsia="方正仿宋_GB2312" w:cs="Times New Roman"/>
          <w:sz w:val="32"/>
          <w:szCs w:val="32"/>
        </w:rPr>
        <w:t>。</w:t>
      </w:r>
    </w:p>
    <w:p w14:paraId="1F7063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2.学历结构分析</w:t>
      </w:r>
    </w:p>
    <w:p w14:paraId="24CDD1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学校教师学历层次呈现</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中间大、两头小</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的特点</w:t>
      </w:r>
      <w:r>
        <w:rPr>
          <w:rFonts w:hint="default"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博士研究生学历1人，占比0.24%；硕士研究生学历135人，占比32.14%；本科学历277人，占比65.95%；专科及以下学历7人，占比1.67%</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b/>
          <w:bCs/>
          <w:sz w:val="32"/>
          <w:szCs w:val="32"/>
          <w:u w:val="single"/>
        </w:rPr>
        <w:t>青年教师群体中，具有研究生以上学历98人，占比54.44%，</w:t>
      </w:r>
      <w:r>
        <w:rPr>
          <w:rFonts w:hint="default" w:ascii="Times New Roman" w:hAnsi="Times New Roman" w:eastAsia="方正仿宋_GB2312" w:cs="Times New Roman"/>
          <w:sz w:val="32"/>
          <w:szCs w:val="32"/>
        </w:rPr>
        <w:t>显示出一定的学历优势，但整体高学历人才仍然匮乏，制约了学校高水平科研项目的开展和学科前沿研究的推进。</w:t>
      </w:r>
    </w:p>
    <w:p w14:paraId="31F477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3.职称结构分析</w:t>
      </w:r>
    </w:p>
    <w:p w14:paraId="693B65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学校教师职称结构呈现</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金字塔</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型分布：正高级职称17人，占比4.05%；高级职称106人，占比25.24%；中级职称133人，31.67%；初级职称48人，占比11.43%；未评级110人，占比27.62%。</w:t>
      </w:r>
      <w:r>
        <w:rPr>
          <w:rFonts w:hint="default" w:ascii="Times New Roman" w:hAnsi="Times New Roman" w:eastAsia="方正仿宋_GB2312" w:cs="Times New Roman"/>
          <w:b/>
          <w:bCs/>
          <w:sz w:val="32"/>
          <w:szCs w:val="32"/>
          <w:u w:val="single"/>
        </w:rPr>
        <w:t>青年教师职称层次普遍偏低，高级以上职称仅3人，占比1.67%；中级职称47人，占比26.11%；初级职称31人，占比17.22%；未评级99人，占比55.00%。</w:t>
      </w:r>
    </w:p>
    <w:p w14:paraId="1E2B1AF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方正楷体_GB2312" w:hAnsi="方正楷体_GB2312" w:eastAsia="方正楷体_GB2312" w:cs="方正楷体_GB2312"/>
          <w:b w:val="0"/>
          <w:bCs w:val="0"/>
          <w:sz w:val="32"/>
          <w:szCs w:val="32"/>
          <w:lang w:eastAsia="zh-CN"/>
        </w:rPr>
      </w:pPr>
      <w:r>
        <w:rPr>
          <w:rFonts w:hint="default" w:ascii="方正楷体_GB2312" w:hAnsi="方正楷体_GB2312" w:eastAsia="方正楷体_GB2312" w:cs="方正楷体_GB2312"/>
          <w:b w:val="0"/>
          <w:bCs w:val="0"/>
          <w:sz w:val="32"/>
          <w:szCs w:val="32"/>
          <w:lang w:eastAsia="zh-CN"/>
        </w:rPr>
        <w:t>（二）新时代对高校教师的新要求</w:t>
      </w:r>
    </w:p>
    <w:p w14:paraId="534D16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eastAsia="zh-CN"/>
        </w:rPr>
      </w:pPr>
      <w:r>
        <w:rPr>
          <w:rFonts w:hint="default" w:ascii="Times New Roman" w:hAnsi="Times New Roman" w:eastAsia="方正仿宋_GB2312" w:cs="Times New Roman"/>
          <w:sz w:val="32"/>
          <w:szCs w:val="32"/>
        </w:rPr>
        <w:t>教育部副部长吴岩在2022年第二届全国高校教师教学创新大赛中，基于教师是人才培养的决定力量，提出了</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金师</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的概念</w:t>
      </w:r>
      <w:r>
        <w:rPr>
          <w:rFonts w:hint="default" w:ascii="Times New Roman" w:hAnsi="Times New Roman" w:eastAsia="方正仿宋_GB2312" w:cs="Times New Roman"/>
          <w:sz w:val="32"/>
          <w:szCs w:val="32"/>
          <w:lang w:eastAsia="zh-CN"/>
        </w:rPr>
        <w:t>，为新时代高校教师队伍建设指明了方向</w:t>
      </w:r>
      <w:r>
        <w:rPr>
          <w:rFonts w:hint="default" w:ascii="Times New Roman" w:hAnsi="Times New Roman" w:eastAsia="方正仿宋_GB2312" w:cs="Times New Roman"/>
          <w:sz w:val="32"/>
          <w:szCs w:val="32"/>
        </w:rPr>
        <w:t>。</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金师</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即</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高质量教师</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金师</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rPr>
        <w:t>应具备以下核心素质：</w:t>
      </w:r>
      <w:r>
        <w:rPr>
          <w:rFonts w:hint="default" w:ascii="Times New Roman" w:hAnsi="Times New Roman" w:eastAsia="方正仿宋_GB2312" w:cs="Times New Roman"/>
          <w:sz w:val="32"/>
          <w:szCs w:val="32"/>
          <w:lang w:eastAsia="zh-CN"/>
        </w:rPr>
        <w:t>一是要有坚定的教育信念与意志。教育是基于信念的事业，需要教师在全面、科学认识教育事业的基础上，以切身投入的愿望与攻坚克难的毅力支配教育行为，以仁爱之心涵养教育觉悟和教育良知。二是要有开阔的学科专业视野与结构。学科专业视野开阔且知识结构饱满的</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lang w:eastAsia="zh-CN"/>
        </w:rPr>
        <w:t>金师</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lang w:eastAsia="zh-CN"/>
        </w:rPr>
        <w:t>既具有专精的学科专业知识体系，又能够贯通知识之</w:t>
      </w:r>
      <w:r>
        <w:rPr>
          <w:rFonts w:hint="eastAsia" w:ascii="Times New Roman" w:hAnsi="Times New Roman" w:eastAsia="方正仿宋_GB2312" w:cs="Times New Roman"/>
          <w:sz w:val="32"/>
          <w:szCs w:val="32"/>
          <w:lang w:val="en-US" w:eastAsia="zh-CN"/>
        </w:rPr>
        <w:t>筋</w:t>
      </w:r>
      <w:r>
        <w:rPr>
          <w:rFonts w:hint="default" w:ascii="Times New Roman" w:hAnsi="Times New Roman" w:eastAsia="方正仿宋_GB2312" w:cs="Times New Roman"/>
          <w:sz w:val="32"/>
          <w:szCs w:val="32"/>
          <w:lang w:eastAsia="zh-CN"/>
        </w:rPr>
        <w:t>脉，构建通识性结构底盘，支撑其在课程实施中触类旁通、开合自如、信手拈来。三是要有前瞻的课程意识与行为。</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lang w:eastAsia="zh-CN"/>
        </w:rPr>
        <w:t>金师</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lang w:eastAsia="zh-CN"/>
        </w:rPr>
        <w:t>必须经由专业的课程与教</w:t>
      </w:r>
      <w:r>
        <w:rPr>
          <w:rFonts w:hint="eastAsia" w:ascii="Times New Roman" w:hAnsi="Times New Roman" w:eastAsia="方正仿宋_GB2312" w:cs="Times New Roman"/>
          <w:sz w:val="32"/>
          <w:szCs w:val="32"/>
          <w:lang w:eastAsia="zh-CN"/>
        </w:rPr>
        <w:t>学理</w:t>
      </w:r>
      <w:r>
        <w:rPr>
          <w:rFonts w:hint="default" w:ascii="Times New Roman" w:hAnsi="Times New Roman" w:eastAsia="方正仿宋_GB2312" w:cs="Times New Roman"/>
          <w:sz w:val="32"/>
          <w:szCs w:val="32"/>
          <w:lang w:eastAsia="zh-CN"/>
        </w:rPr>
        <w:t>论训练，形成具有前瞻性、先进性的课程意识与专业可靠的课程行为。四是要有持续的教学学术研究热情。</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lang w:eastAsia="zh-CN"/>
        </w:rPr>
        <w:t>金师</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lang w:eastAsia="zh-CN"/>
        </w:rPr>
        <w:t>必须激活自觉且坚定的专业与教学互系并进的学术热情，具有与专业学术研究和教学学术研究相得益彰的研究能力和研究投入，做</w:t>
      </w:r>
      <w:r>
        <w:rPr>
          <w:rFonts w:hint="eastAsia" w:ascii="Times New Roman" w:hAnsi="Times New Roman" w:eastAsia="方正仿宋_GB2312" w:cs="Times New Roman"/>
          <w:sz w:val="32"/>
          <w:szCs w:val="32"/>
          <w:lang w:eastAsia="zh-CN"/>
        </w:rPr>
        <w:t>研究型“</w:t>
      </w:r>
      <w:r>
        <w:rPr>
          <w:rFonts w:hint="default" w:ascii="Times New Roman" w:hAnsi="Times New Roman" w:eastAsia="方正仿宋_GB2312" w:cs="Times New Roman"/>
          <w:sz w:val="32"/>
          <w:szCs w:val="32"/>
          <w:lang w:eastAsia="zh-CN"/>
        </w:rPr>
        <w:t>金师</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lang w:eastAsia="zh-CN"/>
        </w:rPr>
        <w:t>。</w:t>
      </w:r>
    </w:p>
    <w:p w14:paraId="270AE9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方正楷体_GB2312" w:hAnsi="方正楷体_GB2312" w:eastAsia="方正楷体_GB2312" w:cs="方正楷体_GB2312"/>
          <w:b w:val="0"/>
          <w:bCs w:val="0"/>
          <w:sz w:val="32"/>
          <w:szCs w:val="32"/>
          <w:lang w:eastAsia="zh-CN"/>
        </w:rPr>
      </w:pPr>
      <w:r>
        <w:rPr>
          <w:rFonts w:hint="default" w:ascii="方正楷体_GB2312" w:hAnsi="方正楷体_GB2312" w:eastAsia="方正楷体_GB2312" w:cs="方正楷体_GB2312"/>
          <w:b w:val="0"/>
          <w:bCs w:val="0"/>
          <w:sz w:val="32"/>
          <w:szCs w:val="32"/>
          <w:lang w:eastAsia="zh-CN"/>
        </w:rPr>
        <w:t>（三）学校教师队伍建设面临的挑战</w:t>
      </w:r>
    </w:p>
    <w:p w14:paraId="5734AF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eastAsia="zh-CN"/>
        </w:rPr>
      </w:pPr>
      <w:r>
        <w:rPr>
          <w:rFonts w:hint="default" w:ascii="Times New Roman" w:hAnsi="Times New Roman" w:eastAsia="方正仿宋_GB2312" w:cs="Times New Roman"/>
          <w:sz w:val="32"/>
          <w:szCs w:val="32"/>
          <w:lang w:eastAsia="zh-CN"/>
        </w:rPr>
        <w:t>学校是由重庆市工业学校、重庆铁路运输高级技工学校两所中职学校的优质教育资源整合重组而成的一所高职院校。在转型发展过程中，教师队伍建设面临着诸多挑战：首先，由于学校办学层次提升，大部分教师需要从中职教师向高职教师转型，这一过程中存在专业能力提升的迫切需求；其次，教师队伍中科班出身比例偏低，</w:t>
      </w:r>
      <w:r>
        <w:rPr>
          <w:rFonts w:hint="eastAsia" w:ascii="Times New Roman" w:hAnsi="Times New Roman" w:eastAsia="方正仿宋_GB2312" w:cs="Times New Roman"/>
          <w:sz w:val="32"/>
          <w:szCs w:val="32"/>
          <w:lang w:eastAsia="zh-CN"/>
        </w:rPr>
        <w:t>在教育教学理念方面缺乏系统化训练，</w:t>
      </w:r>
      <w:r>
        <w:rPr>
          <w:rFonts w:hint="default" w:ascii="Times New Roman" w:hAnsi="Times New Roman" w:eastAsia="方正仿宋_GB2312" w:cs="Times New Roman"/>
          <w:sz w:val="32"/>
          <w:szCs w:val="32"/>
          <w:lang w:eastAsia="zh-CN"/>
        </w:rPr>
        <w:t>与高职院校的师资要求存在一定差距；再次，教师教学任务繁重，平均周课时达16</w:t>
      </w:r>
      <w:r>
        <w:rPr>
          <w:rFonts w:hint="eastAsia" w:ascii="Times New Roman" w:hAnsi="Times New Roman" w:eastAsia="方正仿宋_GB2312" w:cs="Times New Roman"/>
          <w:sz w:val="32"/>
          <w:szCs w:val="32"/>
          <w:lang w:eastAsia="zh-CN"/>
        </w:rPr>
        <w:t>节</w:t>
      </w:r>
      <w:r>
        <w:rPr>
          <w:rFonts w:hint="default" w:ascii="Times New Roman" w:hAnsi="Times New Roman" w:eastAsia="方正仿宋_GB2312" w:cs="Times New Roman"/>
          <w:sz w:val="32"/>
          <w:szCs w:val="32"/>
          <w:lang w:eastAsia="zh-CN"/>
        </w:rPr>
        <w:t>，难以保证足够的时间进行教学研究和能力提升</w:t>
      </w:r>
      <w:r>
        <w:rPr>
          <w:rFonts w:hint="eastAsia" w:ascii="Times New Roman" w:hAnsi="Times New Roman" w:eastAsia="方正仿宋_GB2312" w:cs="Times New Roman"/>
          <w:sz w:val="32"/>
          <w:szCs w:val="32"/>
          <w:lang w:eastAsia="zh-CN"/>
        </w:rPr>
        <w:t>。</w:t>
      </w:r>
    </w:p>
    <w:p w14:paraId="6A2610E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2312" w:cs="Times New Roman"/>
          <w:sz w:val="32"/>
          <w:szCs w:val="32"/>
          <w:lang w:eastAsia="zh-CN"/>
        </w:rPr>
      </w:pPr>
      <w:r>
        <w:rPr>
          <w:rFonts w:hint="default" w:ascii="Times New Roman" w:hAnsi="Times New Roman" w:eastAsia="方正仿宋_GB2312" w:cs="Times New Roman"/>
          <w:b/>
          <w:bCs/>
          <w:sz w:val="32"/>
          <w:szCs w:val="32"/>
          <w:u w:val="single"/>
          <w:lang w:eastAsia="zh-CN"/>
        </w:rPr>
        <w:t>此外，近几年学校开展了多轮次、多方位的教师培训，但一方面，现有的培训资源分散，难以形成有效的培训体系，导致教师并未真正获得高质量的培训成果；另一方面，现有培训计划往往采用单一课程讲授的方式，并未将培训目标与教师真实</w:t>
      </w:r>
      <w:r>
        <w:rPr>
          <w:rFonts w:hint="eastAsia" w:ascii="Times New Roman" w:hAnsi="Times New Roman" w:eastAsia="方正仿宋_GB2312" w:cs="Times New Roman"/>
          <w:b/>
          <w:bCs/>
          <w:sz w:val="32"/>
          <w:szCs w:val="32"/>
          <w:u w:val="single"/>
          <w:lang w:val="en-US" w:eastAsia="zh-CN"/>
        </w:rPr>
        <w:t>教学</w:t>
      </w:r>
      <w:r>
        <w:rPr>
          <w:rFonts w:hint="default" w:ascii="Times New Roman" w:hAnsi="Times New Roman" w:eastAsia="方正仿宋_GB2312" w:cs="Times New Roman"/>
          <w:b/>
          <w:bCs/>
          <w:sz w:val="32"/>
          <w:szCs w:val="32"/>
          <w:u w:val="single"/>
          <w:lang w:eastAsia="zh-CN"/>
        </w:rPr>
        <w:t>任务相结合，出现</w:t>
      </w:r>
      <w:r>
        <w:rPr>
          <w:rFonts w:hint="eastAsia" w:ascii="Times New Roman" w:hAnsi="Times New Roman" w:eastAsia="方正仿宋_GB2312" w:cs="Times New Roman"/>
          <w:b/>
          <w:bCs/>
          <w:sz w:val="32"/>
          <w:szCs w:val="32"/>
          <w:u w:val="single"/>
          <w:lang w:eastAsia="zh-CN"/>
        </w:rPr>
        <w:t>“</w:t>
      </w:r>
      <w:r>
        <w:rPr>
          <w:rFonts w:hint="default" w:ascii="Times New Roman" w:hAnsi="Times New Roman" w:eastAsia="方正仿宋_GB2312" w:cs="Times New Roman"/>
          <w:b/>
          <w:bCs/>
          <w:sz w:val="32"/>
          <w:szCs w:val="32"/>
          <w:u w:val="single"/>
          <w:lang w:eastAsia="zh-CN"/>
        </w:rPr>
        <w:t>听的时候很激动，听完之后没行动</w:t>
      </w:r>
      <w:r>
        <w:rPr>
          <w:rFonts w:hint="eastAsia" w:ascii="Times New Roman" w:hAnsi="Times New Roman" w:eastAsia="方正仿宋_GB2312" w:cs="Times New Roman"/>
          <w:b/>
          <w:bCs/>
          <w:sz w:val="32"/>
          <w:szCs w:val="32"/>
          <w:u w:val="single"/>
          <w:lang w:eastAsia="zh-CN"/>
        </w:rPr>
        <w:t>”</w:t>
      </w:r>
      <w:r>
        <w:rPr>
          <w:rFonts w:hint="default" w:ascii="Times New Roman" w:hAnsi="Times New Roman" w:eastAsia="方正仿宋_GB2312" w:cs="Times New Roman"/>
          <w:b/>
          <w:bCs/>
          <w:sz w:val="32"/>
          <w:szCs w:val="32"/>
          <w:u w:val="single"/>
          <w:lang w:eastAsia="zh-CN"/>
        </w:rPr>
        <w:t>现象，教师真实水平并未得到本质提升。这些问题严重制约着学校的内涵建设和人才培养质量的提升。</w:t>
      </w:r>
    </w:p>
    <w:p w14:paraId="3D9D5A8B">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开展能力提升工坊的必要性</w:t>
      </w:r>
    </w:p>
    <w:p w14:paraId="24FACB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方正楷体_GB2312" w:hAnsi="方正楷体_GB2312" w:eastAsia="方正楷体_GB2312" w:cs="方正楷体_GB2312"/>
          <w:b w:val="0"/>
          <w:bCs w:val="0"/>
          <w:sz w:val="32"/>
          <w:szCs w:val="32"/>
          <w:lang w:eastAsia="zh-CN"/>
        </w:rPr>
      </w:pPr>
      <w:r>
        <w:rPr>
          <w:rFonts w:hint="default" w:ascii="方正楷体_GB2312" w:hAnsi="方正楷体_GB2312" w:eastAsia="方正楷体_GB2312" w:cs="方正楷体_GB2312"/>
          <w:b w:val="0"/>
          <w:bCs w:val="0"/>
          <w:sz w:val="32"/>
          <w:szCs w:val="32"/>
          <w:lang w:eastAsia="zh-CN"/>
        </w:rPr>
        <w:t>（一）基于国家政策的要求</w:t>
      </w:r>
    </w:p>
    <w:p w14:paraId="28EFAB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近年来，国家高度重视高校教师队伍建设，相继出台多项政策文件，为青年教师培养提供了明确指导。2020年12月，《教育部等六部门关于加强新时代高校教师队伍建设改革的指导意见》（教师〔2020〕10号）明确提出：高校要健全教师发展体系，完善教师发展培训制度、保障制度、激励制度和督导制度，营造有利于教师可持续发展的良性环境。文件特别强调要继续实施高校青年教师示范性培训项目和高职教师教学创新团队建设项目，强化青年教师培养支持。</w:t>
      </w:r>
    </w:p>
    <w:p w14:paraId="4B952D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2024年8月，中共中央、国务院联合印发了《关于弘扬教育家精神加强新时代高素质专业化教师队伍建设的意见》，其中对教师专业素养做了明确要求。并提出</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支持高水平大学与高等职业院校、企业联合开展职业教育教师一体化培养培训，优化实施职业院校教师素质提高计划</w:t>
      </w:r>
      <w:r>
        <w:rPr>
          <w:rFonts w:hint="eastAsia" w:ascii="Times New Roman" w:hAnsi="Times New Roman" w:eastAsia="方正仿宋_GB2312" w:cs="Times New Roman"/>
          <w:sz w:val="32"/>
          <w:szCs w:val="32"/>
          <w:lang w:eastAsia="zh-CN"/>
        </w:rPr>
        <w:t>”</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实施数字化赋能教师发展行动，推动教师积极应对新技术变革，着眼未来培养人才</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lang w:val="en-US" w:eastAsia="zh-CN"/>
        </w:rPr>
        <w:t>等指导意见。</w:t>
      </w:r>
    </w:p>
    <w:p w14:paraId="074178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eastAsia="zh-CN"/>
        </w:rPr>
      </w:pPr>
      <w:r>
        <w:rPr>
          <w:rFonts w:hint="default" w:ascii="Times New Roman" w:hAnsi="Times New Roman" w:eastAsia="方正仿宋_GB2312" w:cs="Times New Roman"/>
          <w:sz w:val="32"/>
          <w:szCs w:val="32"/>
          <w:lang w:eastAsia="zh-CN"/>
        </w:rPr>
        <w:t>2024年12月，重庆市委、市政府印发《重庆加快建设教育强市推进教育现代化规划（2024—2035年）》，</w:t>
      </w:r>
      <w:r>
        <w:rPr>
          <w:rFonts w:hint="default" w:ascii="Times New Roman" w:hAnsi="Times New Roman" w:eastAsia="方正仿宋_GB2312" w:cs="Times New Roman"/>
          <w:b/>
          <w:bCs/>
          <w:sz w:val="32"/>
          <w:szCs w:val="32"/>
          <w:u w:val="single"/>
          <w:lang w:eastAsia="zh-CN"/>
        </w:rPr>
        <w:t>在第三十二条中明确要求着力提升教师教书育人能力，强化高校教师研修、教育教学和学术科研发展，重点建设</w:t>
      </w:r>
      <w:r>
        <w:rPr>
          <w:rFonts w:hint="eastAsia" w:ascii="Times New Roman" w:hAnsi="Times New Roman" w:eastAsia="方正仿宋_GB2312" w:cs="Times New Roman"/>
          <w:b/>
          <w:bCs/>
          <w:sz w:val="32"/>
          <w:szCs w:val="32"/>
          <w:u w:val="single"/>
          <w:lang w:eastAsia="zh-CN"/>
        </w:rPr>
        <w:t>“</w:t>
      </w:r>
      <w:r>
        <w:rPr>
          <w:rFonts w:hint="default" w:ascii="Times New Roman" w:hAnsi="Times New Roman" w:eastAsia="方正仿宋_GB2312" w:cs="Times New Roman"/>
          <w:b/>
          <w:bCs/>
          <w:sz w:val="32"/>
          <w:szCs w:val="32"/>
          <w:u w:val="single"/>
          <w:lang w:eastAsia="zh-CN"/>
        </w:rPr>
        <w:t>双师型</w:t>
      </w:r>
      <w:r>
        <w:rPr>
          <w:rFonts w:hint="eastAsia" w:ascii="Times New Roman" w:hAnsi="Times New Roman" w:eastAsia="方正仿宋_GB2312" w:cs="Times New Roman"/>
          <w:sz w:val="32"/>
          <w:szCs w:val="32"/>
          <w:lang w:eastAsia="zh-CN"/>
        </w:rPr>
        <w:t>”</w:t>
      </w:r>
      <w:r>
        <w:rPr>
          <w:rFonts w:hint="default" w:ascii="Times New Roman" w:hAnsi="Times New Roman" w:eastAsia="方正仿宋_GB2312" w:cs="Times New Roman"/>
          <w:b/>
          <w:bCs/>
          <w:sz w:val="32"/>
          <w:szCs w:val="32"/>
          <w:u w:val="single"/>
          <w:lang w:eastAsia="zh-CN"/>
        </w:rPr>
        <w:t>名师工作室、教师创新团队和教师企业实践平台。</w:t>
      </w:r>
      <w:r>
        <w:rPr>
          <w:rFonts w:hint="default" w:ascii="Times New Roman" w:hAnsi="Times New Roman" w:eastAsia="方正仿宋_GB2312" w:cs="Times New Roman"/>
          <w:sz w:val="32"/>
          <w:szCs w:val="32"/>
          <w:lang w:eastAsia="zh-CN"/>
        </w:rPr>
        <w:t>这些政策文件的出台，为开展青年教师能力提升工坊提供了坚实的政策依据和行动指南。</w:t>
      </w:r>
    </w:p>
    <w:p w14:paraId="6887B4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（二）基于课堂教学质量提升的迫切需求</w:t>
      </w:r>
    </w:p>
    <w:p w14:paraId="2CCAFC2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根据上学期课堂教学质量评估</w:t>
      </w:r>
      <w:r>
        <w:rPr>
          <w:rFonts w:hint="eastAsia" w:ascii="Times New Roman" w:hAnsi="Times New Roman" w:eastAsia="方正仿宋_GB2312" w:cs="Times New Roman"/>
          <w:sz w:val="32"/>
          <w:szCs w:val="32"/>
          <w:lang w:val="en-US" w:eastAsia="zh-CN"/>
        </w:rPr>
        <w:t>数据</w:t>
      </w:r>
      <w:r>
        <w:rPr>
          <w:rFonts w:hint="default" w:ascii="Times New Roman" w:hAnsi="Times New Roman" w:eastAsia="方正仿宋_GB2312" w:cs="Times New Roman"/>
          <w:sz w:val="32"/>
          <w:szCs w:val="32"/>
          <w:lang w:val="en-US" w:eastAsia="zh-CN"/>
        </w:rPr>
        <w:t>，青年教师在课堂教学中存在</w:t>
      </w:r>
      <w:r>
        <w:rPr>
          <w:rFonts w:hint="eastAsia" w:ascii="Times New Roman" w:hAnsi="Times New Roman" w:eastAsia="方正仿宋_GB2312" w:cs="Times New Roman"/>
          <w:sz w:val="32"/>
          <w:szCs w:val="32"/>
          <w:lang w:val="en-US" w:eastAsia="zh-CN"/>
        </w:rPr>
        <w:t>以下突出问题</w:t>
      </w:r>
      <w:r>
        <w:rPr>
          <w:rFonts w:hint="default"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b/>
          <w:bCs/>
          <w:sz w:val="32"/>
          <w:szCs w:val="32"/>
          <w:u w:val="single"/>
          <w:lang w:val="en-US" w:eastAsia="zh-CN"/>
        </w:rPr>
        <w:t>课堂组织能力薄弱，教学环节完整性不足</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课程思政元素融入度低</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现代教育技术应用水平有限（熟练使用</w:t>
      </w:r>
      <w:r>
        <w:rPr>
          <w:rFonts w:hint="eastAsia" w:ascii="Times New Roman" w:hAnsi="Times New Roman" w:eastAsia="方正仿宋_GB2312" w:cs="Times New Roman"/>
          <w:b/>
          <w:bCs/>
          <w:sz w:val="32"/>
          <w:szCs w:val="32"/>
          <w:u w:val="single"/>
          <w:lang w:val="en-US" w:eastAsia="zh-CN"/>
        </w:rPr>
        <w:t>超星</w:t>
      </w:r>
      <w:r>
        <w:rPr>
          <w:rFonts w:hint="default" w:ascii="Times New Roman" w:hAnsi="Times New Roman" w:eastAsia="方正仿宋_GB2312" w:cs="Times New Roman"/>
          <w:b/>
          <w:bCs/>
          <w:sz w:val="32"/>
          <w:szCs w:val="32"/>
          <w:u w:val="single"/>
          <w:lang w:val="en-US" w:eastAsia="zh-CN"/>
        </w:rPr>
        <w:t>智慧教学平台的教师占比不到</w:t>
      </w:r>
      <w:r>
        <w:rPr>
          <w:rFonts w:hint="eastAsia" w:ascii="Times New Roman" w:hAnsi="Times New Roman" w:eastAsia="方正仿宋_GB2312" w:cs="Times New Roman"/>
          <w:b/>
          <w:bCs/>
          <w:sz w:val="32"/>
          <w:szCs w:val="32"/>
          <w:u w:val="single"/>
          <w:lang w:val="en-US" w:eastAsia="zh-CN"/>
        </w:rPr>
        <w:t>5</w:t>
      </w:r>
      <w:r>
        <w:rPr>
          <w:rFonts w:hint="default" w:ascii="Times New Roman" w:hAnsi="Times New Roman" w:eastAsia="方正仿宋_GB2312" w:cs="Times New Roman"/>
          <w:b/>
          <w:bCs/>
          <w:sz w:val="32"/>
          <w:szCs w:val="32"/>
          <w:u w:val="single"/>
          <w:lang w:val="en-US" w:eastAsia="zh-CN"/>
        </w:rPr>
        <w:t>0%）</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教学评价方式单一，缺乏科学性</w:t>
      </w:r>
      <w:r>
        <w:rPr>
          <w:rFonts w:hint="eastAsia" w:ascii="Times New Roman" w:hAnsi="Times New Roman" w:eastAsia="方正仿宋_GB2312" w:cs="Times New Roman"/>
          <w:b/>
          <w:bCs/>
          <w:sz w:val="32"/>
          <w:szCs w:val="32"/>
          <w:u w:val="single"/>
          <w:lang w:val="en-US" w:eastAsia="zh-CN"/>
        </w:rPr>
        <w:t>；课堂互动效果欠佳，学生参与度不高等问题</w:t>
      </w:r>
      <w:r>
        <w:rPr>
          <w:rFonts w:hint="default" w:ascii="Times New Roman" w:hAnsi="Times New Roman" w:eastAsia="方正仿宋_GB2312" w:cs="Times New Roman"/>
          <w:sz w:val="32"/>
          <w:szCs w:val="32"/>
          <w:lang w:val="en-US" w:eastAsia="zh-CN"/>
        </w:rPr>
        <w:t>。这些问题的存在严重</w:t>
      </w:r>
      <w:r>
        <w:rPr>
          <w:rFonts w:hint="eastAsia" w:ascii="Times New Roman" w:hAnsi="Times New Roman" w:eastAsia="方正仿宋_GB2312" w:cs="Times New Roman"/>
          <w:sz w:val="32"/>
          <w:szCs w:val="32"/>
          <w:lang w:val="en-US" w:eastAsia="zh-CN"/>
        </w:rPr>
        <w:t>制约</w:t>
      </w:r>
      <w:r>
        <w:rPr>
          <w:rFonts w:hint="default" w:ascii="Times New Roman" w:hAnsi="Times New Roman" w:eastAsia="方正仿宋_GB2312" w:cs="Times New Roman"/>
          <w:sz w:val="32"/>
          <w:szCs w:val="32"/>
          <w:lang w:val="en-US" w:eastAsia="zh-CN"/>
        </w:rPr>
        <w:t>了课堂教学效果和人才培养质量</w:t>
      </w:r>
      <w:r>
        <w:rPr>
          <w:rFonts w:hint="eastAsia" w:ascii="Times New Roman" w:hAnsi="Times New Roman" w:eastAsia="方正仿宋_GB2312" w:cs="Times New Roman"/>
          <w:sz w:val="32"/>
          <w:szCs w:val="32"/>
          <w:lang w:val="en-US" w:eastAsia="zh-CN"/>
        </w:rPr>
        <w:t>的提升</w:t>
      </w:r>
      <w:r>
        <w:rPr>
          <w:rFonts w:hint="default" w:ascii="Times New Roman" w:hAnsi="Times New Roman" w:eastAsia="方正仿宋_GB2312" w:cs="Times New Roman"/>
          <w:sz w:val="32"/>
          <w:szCs w:val="32"/>
          <w:lang w:val="en-US" w:eastAsia="zh-CN"/>
        </w:rPr>
        <w:t>。通过开展青年教师能力提升工坊，可以系统性地解决这些问题，全面提升青年教师的教学能力。</w:t>
      </w:r>
    </w:p>
    <w:p w14:paraId="2A9148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方正楷体_GB2312" w:hAnsi="方正楷体_GB2312" w:eastAsia="方正楷体_GB2312" w:cs="方正楷体_GB2312"/>
          <w:b w:val="0"/>
          <w:bCs w:val="0"/>
          <w:sz w:val="32"/>
          <w:szCs w:val="32"/>
          <w:lang w:eastAsia="zh-CN"/>
        </w:rPr>
      </w:pPr>
      <w:r>
        <w:rPr>
          <w:rFonts w:hint="default" w:ascii="方正楷体_GB2312" w:hAnsi="方正楷体_GB2312" w:eastAsia="方正楷体_GB2312" w:cs="方正楷体_GB2312"/>
          <w:b w:val="0"/>
          <w:bCs w:val="0"/>
          <w:sz w:val="32"/>
          <w:szCs w:val="32"/>
          <w:lang w:eastAsia="zh-CN"/>
        </w:rPr>
        <w:t>（</w:t>
      </w:r>
      <w:r>
        <w:rPr>
          <w:rFonts w:hint="eastAsia" w:ascii="方正楷体_GB2312" w:hAnsi="方正楷体_GB2312" w:eastAsia="方正楷体_GB2312" w:cs="方正楷体_GB2312"/>
          <w:b w:val="0"/>
          <w:bCs w:val="0"/>
          <w:sz w:val="32"/>
          <w:szCs w:val="32"/>
          <w:lang w:val="en-US" w:eastAsia="zh-CN"/>
        </w:rPr>
        <w:t>三</w:t>
      </w:r>
      <w:r>
        <w:rPr>
          <w:rFonts w:hint="default" w:ascii="方正楷体_GB2312" w:hAnsi="方正楷体_GB2312" w:eastAsia="方正楷体_GB2312" w:cs="方正楷体_GB2312"/>
          <w:b w:val="0"/>
          <w:bCs w:val="0"/>
          <w:sz w:val="32"/>
          <w:szCs w:val="32"/>
          <w:lang w:eastAsia="zh-CN"/>
        </w:rPr>
        <w:t>）基于师资队伍建设的系统性要求</w:t>
      </w:r>
    </w:p>
    <w:p w14:paraId="32BCF16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b/>
          <w:bCs/>
          <w:sz w:val="32"/>
          <w:szCs w:val="32"/>
          <w:u w:val="single"/>
          <w:lang w:val="en-US" w:eastAsia="zh-CN"/>
        </w:rPr>
        <w:t>当前教师培训市场存在</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重热点、轻基础</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的现象</w:t>
      </w:r>
      <w:r>
        <w:rPr>
          <w:rFonts w:hint="default" w:ascii="Times New Roman" w:hAnsi="Times New Roman" w:eastAsia="方正仿宋_GB2312" w:cs="Times New Roman"/>
          <w:sz w:val="32"/>
          <w:szCs w:val="32"/>
          <w:lang w:val="en-US" w:eastAsia="zh-CN"/>
        </w:rPr>
        <w:t>，针对教育教学改革热点的单项培训较多，而系统化的基础性培训相对缺乏。</w:t>
      </w:r>
      <w:r>
        <w:rPr>
          <w:rFonts w:hint="default" w:ascii="Times New Roman" w:hAnsi="Times New Roman" w:eastAsia="方正仿宋_GB2312" w:cs="Times New Roman"/>
          <w:b/>
          <w:bCs/>
          <w:sz w:val="32"/>
          <w:szCs w:val="32"/>
          <w:u w:val="single"/>
          <w:lang w:val="en-US" w:eastAsia="zh-CN"/>
        </w:rPr>
        <w:t>青年教师能力提升</w:t>
      </w:r>
      <w:r>
        <w:rPr>
          <w:rFonts w:hint="default" w:ascii="Times New Roman" w:hAnsi="Times New Roman" w:eastAsia="方正仿宋_GB2312" w:cs="Times New Roman"/>
          <w:sz w:val="32"/>
          <w:szCs w:val="32"/>
          <w:lang w:val="en-US" w:eastAsia="zh-CN"/>
        </w:rPr>
        <w:t>工坊培训内容既涵盖教学理念、教学方法、教学技术，也涵盖人培方案解读、课程标准制定、教学内容优化等，这种</w:t>
      </w:r>
      <w:r>
        <w:rPr>
          <w:rFonts w:hint="default" w:ascii="Times New Roman" w:hAnsi="Times New Roman" w:eastAsia="方正仿宋_GB2312" w:cs="Times New Roman"/>
          <w:b/>
          <w:bCs/>
          <w:sz w:val="32"/>
          <w:szCs w:val="32"/>
          <w:u w:val="single"/>
          <w:lang w:val="en-US" w:eastAsia="zh-CN"/>
        </w:rPr>
        <w:t>系统化的培训模式有助于青年教师夯实教学基本功，实现可持续发展</w:t>
      </w:r>
      <w:r>
        <w:rPr>
          <w:rFonts w:hint="default" w:ascii="Times New Roman" w:hAnsi="Times New Roman" w:eastAsia="方正仿宋_GB2312" w:cs="Times New Roman"/>
          <w:sz w:val="32"/>
          <w:szCs w:val="32"/>
          <w:lang w:val="en-US" w:eastAsia="zh-CN"/>
        </w:rPr>
        <w:t>。</w:t>
      </w:r>
    </w:p>
    <w:p w14:paraId="4135B1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w:t>
      </w:r>
      <w:r>
        <w:rPr>
          <w:rFonts w:hint="eastAsia" w:ascii="方正楷体_GB2312" w:hAnsi="方正楷体_GB2312" w:eastAsia="方正楷体_GB2312" w:cs="方正楷体_GB2312"/>
          <w:b w:val="0"/>
          <w:bCs w:val="0"/>
          <w:sz w:val="32"/>
          <w:szCs w:val="32"/>
          <w:lang w:val="en-US" w:eastAsia="zh-CN"/>
        </w:rPr>
        <w:t>四</w:t>
      </w:r>
      <w:r>
        <w:rPr>
          <w:rFonts w:hint="eastAsia" w:ascii="方正楷体_GB2312" w:hAnsi="方正楷体_GB2312" w:eastAsia="方正楷体_GB2312" w:cs="方正楷体_GB2312"/>
          <w:b w:val="0"/>
          <w:bCs w:val="0"/>
          <w:sz w:val="32"/>
          <w:szCs w:val="32"/>
          <w:lang w:eastAsia="zh-CN"/>
        </w:rPr>
        <w:t>）基于校本培训体系建设的需要</w:t>
      </w:r>
    </w:p>
    <w:p w14:paraId="2D32A6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建立完善的校本培训体系是学校内涵建设的重要内容。青年教师能力提升工坊将：</w:t>
      </w:r>
      <w:r>
        <w:rPr>
          <w:rFonts w:hint="default" w:ascii="Times New Roman" w:hAnsi="Times New Roman" w:eastAsia="方正仿宋_GB2312" w:cs="Times New Roman"/>
          <w:b/>
          <w:bCs/>
          <w:sz w:val="32"/>
          <w:szCs w:val="32"/>
          <w:u w:val="single"/>
          <w:lang w:val="en-US" w:eastAsia="zh-CN"/>
        </w:rPr>
        <w:t>形成</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理论指导</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实践训练</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反思提升</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的培训闭环</w:t>
      </w:r>
      <w:r>
        <w:rPr>
          <w:rFonts w:hint="default"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b/>
          <w:bCs/>
          <w:sz w:val="32"/>
          <w:szCs w:val="32"/>
          <w:u w:val="single"/>
          <w:lang w:val="en-US" w:eastAsia="zh-CN"/>
        </w:rPr>
        <w:t>建立</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导师引领</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同伴互助</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自我发展</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的成长机制</w:t>
      </w:r>
      <w:r>
        <w:rPr>
          <w:rFonts w:hint="default"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b/>
          <w:bCs/>
          <w:sz w:val="32"/>
          <w:szCs w:val="32"/>
          <w:u w:val="single"/>
          <w:lang w:val="en-US" w:eastAsia="zh-CN"/>
        </w:rPr>
        <w:t>打造</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教学示范</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经验分享</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成果展示</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的交流平台</w:t>
      </w:r>
      <w:r>
        <w:rPr>
          <w:rFonts w:hint="default" w:ascii="Times New Roman" w:hAnsi="Times New Roman" w:eastAsia="方正仿宋_GB2312" w:cs="Times New Roman"/>
          <w:sz w:val="32"/>
          <w:szCs w:val="32"/>
          <w:lang w:val="en-US" w:eastAsia="zh-CN"/>
        </w:rPr>
        <w:t>。这将有效填补学校在青年教师培养方面的制度空白，形成具有校本特色的教师发展模式。</w:t>
      </w:r>
    </w:p>
    <w:p w14:paraId="74346F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方正楷体_GB2312" w:hAnsi="方正楷体_GB2312" w:eastAsia="方正楷体_GB2312" w:cs="方正楷体_GB2312"/>
          <w:b w:val="0"/>
          <w:bCs w:val="0"/>
          <w:sz w:val="32"/>
          <w:szCs w:val="32"/>
          <w:lang w:eastAsia="zh-CN"/>
        </w:rPr>
      </w:pPr>
      <w:r>
        <w:rPr>
          <w:rFonts w:hint="default" w:ascii="方正楷体_GB2312" w:hAnsi="方正楷体_GB2312" w:eastAsia="方正楷体_GB2312" w:cs="方正楷体_GB2312"/>
          <w:b w:val="0"/>
          <w:bCs w:val="0"/>
          <w:sz w:val="32"/>
          <w:szCs w:val="32"/>
          <w:lang w:eastAsia="zh-CN"/>
        </w:rPr>
        <w:t>（</w:t>
      </w:r>
      <w:r>
        <w:rPr>
          <w:rFonts w:hint="eastAsia" w:ascii="方正楷体_GB2312" w:hAnsi="方正楷体_GB2312" w:eastAsia="方正楷体_GB2312" w:cs="方正楷体_GB2312"/>
          <w:b w:val="0"/>
          <w:bCs w:val="0"/>
          <w:sz w:val="32"/>
          <w:szCs w:val="32"/>
          <w:lang w:val="en-US" w:eastAsia="zh-CN"/>
        </w:rPr>
        <w:t>五</w:t>
      </w:r>
      <w:r>
        <w:rPr>
          <w:rFonts w:hint="default" w:ascii="方正楷体_GB2312" w:hAnsi="方正楷体_GB2312" w:eastAsia="方正楷体_GB2312" w:cs="方正楷体_GB2312"/>
          <w:b w:val="0"/>
          <w:bCs w:val="0"/>
          <w:sz w:val="32"/>
          <w:szCs w:val="32"/>
          <w:lang w:eastAsia="zh-CN"/>
        </w:rPr>
        <w:t>）基于教育部</w:t>
      </w:r>
      <w:r>
        <w:rPr>
          <w:rFonts w:hint="eastAsia" w:ascii="方正楷体_GB2312" w:hAnsi="方正楷体_GB2312" w:eastAsia="方正楷体_GB2312" w:cs="方正楷体_GB2312"/>
          <w:b w:val="0"/>
          <w:bCs w:val="0"/>
          <w:sz w:val="32"/>
          <w:szCs w:val="32"/>
          <w:lang w:eastAsia="zh-CN"/>
        </w:rPr>
        <w:t>“</w:t>
      </w:r>
      <w:r>
        <w:rPr>
          <w:rFonts w:hint="default" w:ascii="方正楷体_GB2312" w:hAnsi="方正楷体_GB2312" w:eastAsia="方正楷体_GB2312" w:cs="方正楷体_GB2312"/>
          <w:b w:val="0"/>
          <w:bCs w:val="0"/>
          <w:sz w:val="32"/>
          <w:szCs w:val="32"/>
          <w:lang w:eastAsia="zh-CN"/>
        </w:rPr>
        <w:t>五金</w:t>
      </w:r>
      <w:r>
        <w:rPr>
          <w:rFonts w:hint="eastAsia" w:ascii="Times New Roman" w:hAnsi="Times New Roman" w:eastAsia="方正仿宋_GB2312" w:cs="Times New Roman"/>
          <w:sz w:val="32"/>
          <w:szCs w:val="32"/>
          <w:lang w:eastAsia="zh-CN"/>
        </w:rPr>
        <w:t>”</w:t>
      </w:r>
      <w:r>
        <w:rPr>
          <w:rFonts w:hint="default" w:ascii="方正楷体_GB2312" w:hAnsi="方正楷体_GB2312" w:eastAsia="方正楷体_GB2312" w:cs="方正楷体_GB2312"/>
          <w:b w:val="0"/>
          <w:bCs w:val="0"/>
          <w:sz w:val="32"/>
          <w:szCs w:val="32"/>
          <w:lang w:eastAsia="zh-CN"/>
        </w:rPr>
        <w:t>建设的政策导向</w:t>
      </w:r>
    </w:p>
    <w:p w14:paraId="4A1D4D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教育部提出的</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五金</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建设要求，特别是</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金课</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建设标准，对教师教学能力提出了更高要求。青年教师能力提升工坊将重点围绕：课程思政元素的有机融入、信息技术与教学的深度融合、教学设计的创新优化、教学评价的科学改进等方面，通过系统培训，</w:t>
      </w:r>
      <w:r>
        <w:rPr>
          <w:rFonts w:hint="default" w:ascii="Times New Roman" w:hAnsi="Times New Roman" w:eastAsia="方正仿宋_GB2312" w:cs="Times New Roman"/>
          <w:b/>
          <w:bCs/>
          <w:sz w:val="32"/>
          <w:szCs w:val="32"/>
          <w:u w:val="single"/>
          <w:lang w:val="en-US" w:eastAsia="zh-CN"/>
        </w:rPr>
        <w:t>帮助青年教师掌握</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金课</w:t>
      </w:r>
      <w:r>
        <w:rPr>
          <w:rFonts w:hint="eastAsia" w:ascii="Times New Roman" w:hAnsi="Times New Roman" w:eastAsia="方正仿宋_GB2312" w:cs="Times New Roman"/>
          <w:sz w:val="32"/>
          <w:szCs w:val="32"/>
          <w:u w:val="single"/>
          <w:lang w:eastAsia="zh-CN"/>
        </w:rPr>
        <w:t>”</w:t>
      </w:r>
      <w:r>
        <w:rPr>
          <w:rFonts w:hint="default" w:ascii="Times New Roman" w:hAnsi="Times New Roman" w:eastAsia="方正仿宋_GB2312" w:cs="Times New Roman"/>
          <w:b/>
          <w:bCs/>
          <w:sz w:val="32"/>
          <w:szCs w:val="32"/>
          <w:u w:val="single"/>
          <w:lang w:val="en-US" w:eastAsia="zh-CN"/>
        </w:rPr>
        <w:t>建设要领</w:t>
      </w:r>
      <w:r>
        <w:rPr>
          <w:rFonts w:hint="default" w:ascii="Times New Roman" w:hAnsi="Times New Roman" w:eastAsia="方正仿宋_GB2312" w:cs="Times New Roman"/>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提升课程建设质量，为学校打造更多高水平</w:t>
      </w:r>
      <w:r>
        <w:rPr>
          <w:rFonts w:hint="eastAsia" w:ascii="Times New Roman" w:hAnsi="Times New Roman" w:eastAsia="方正仿宋_GB2312" w:cs="Times New Roman"/>
          <w:b/>
          <w:bCs/>
          <w:sz w:val="32"/>
          <w:szCs w:val="32"/>
          <w:u w:val="single"/>
          <w:lang w:val="en-US" w:eastAsia="zh-CN"/>
        </w:rPr>
        <w:t>“</w:t>
      </w:r>
      <w:r>
        <w:rPr>
          <w:rFonts w:hint="default" w:ascii="Times New Roman" w:hAnsi="Times New Roman" w:eastAsia="方正仿宋_GB2312" w:cs="Times New Roman"/>
          <w:b/>
          <w:bCs/>
          <w:sz w:val="32"/>
          <w:szCs w:val="32"/>
          <w:u w:val="single"/>
          <w:lang w:val="en-US" w:eastAsia="zh-CN"/>
        </w:rPr>
        <w:t>金课</w:t>
      </w:r>
      <w:r>
        <w:rPr>
          <w:rFonts w:hint="eastAsia" w:ascii="Times New Roman" w:hAnsi="Times New Roman" w:eastAsia="方正仿宋_GB2312" w:cs="Times New Roman"/>
          <w:sz w:val="32"/>
          <w:szCs w:val="32"/>
          <w:u w:val="single"/>
          <w:lang w:eastAsia="zh-CN"/>
        </w:rPr>
        <w:t>”</w:t>
      </w:r>
      <w:r>
        <w:rPr>
          <w:rFonts w:hint="default" w:ascii="Times New Roman" w:hAnsi="Times New Roman" w:eastAsia="方正仿宋_GB2312" w:cs="Times New Roman"/>
          <w:b/>
          <w:bCs/>
          <w:sz w:val="32"/>
          <w:szCs w:val="32"/>
          <w:u w:val="single"/>
          <w:lang w:val="en-US" w:eastAsia="zh-CN"/>
        </w:rPr>
        <w:t>奠定基础</w:t>
      </w:r>
      <w:r>
        <w:rPr>
          <w:rFonts w:hint="default" w:ascii="Times New Roman" w:hAnsi="Times New Roman" w:eastAsia="方正仿宋_GB2312" w:cs="Times New Roman"/>
          <w:sz w:val="32"/>
          <w:szCs w:val="32"/>
          <w:lang w:val="en-US" w:eastAsia="zh-CN"/>
        </w:rPr>
        <w:t>。</w:t>
      </w:r>
    </w:p>
    <w:p w14:paraId="005B8950">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开展能力提升工坊的可行性</w:t>
      </w:r>
    </w:p>
    <w:p w14:paraId="0F41D2C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（一）培训内容体系化、实用化</w:t>
      </w:r>
    </w:p>
    <w:p w14:paraId="6AF472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青年教师能力提升工坊以35岁以下青年教师为重点培养对象，特别是教学能力相对薄弱和新入职的教师群体。培训采用“分类指导、分层培养、分步推进</w:t>
      </w:r>
      <w:r>
        <w:rPr>
          <w:rFonts w:hint="eastAsia" w:ascii="Times New Roman" w:hAnsi="Times New Roman" w:eastAsia="方正仿宋_GB2312" w:cs="Times New Roman"/>
          <w:sz w:val="32"/>
          <w:szCs w:val="32"/>
          <w:lang w:eastAsia="zh-CN"/>
        </w:rPr>
        <w:t>”</w:t>
      </w:r>
      <w:r>
        <w:rPr>
          <w:rFonts w:hint="eastAsia" w:ascii="Times New Roman" w:hAnsi="Times New Roman" w:eastAsia="方正仿宋_GB2312" w:cs="Times New Roman"/>
          <w:sz w:val="32"/>
          <w:szCs w:val="32"/>
          <w:lang w:val="en-US" w:eastAsia="zh-CN"/>
        </w:rPr>
        <w:t>的实施策略，通过系统化的培训体系，帮助青年教师实现教学能力的快速提升，最终达到独立开发并主讲一门优质课程的目标。</w:t>
      </w:r>
    </w:p>
    <w:p w14:paraId="6A1456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培训内容设计紧扣教师职业发展核心能力，围绕“十大奠基工程</w:t>
      </w:r>
      <w:r>
        <w:rPr>
          <w:rFonts w:hint="eastAsia" w:ascii="Times New Roman" w:hAnsi="Times New Roman" w:eastAsia="方正仿宋_GB2312" w:cs="Times New Roman"/>
          <w:sz w:val="32"/>
          <w:szCs w:val="32"/>
          <w:lang w:eastAsia="zh-CN"/>
        </w:rPr>
        <w:t>”</w:t>
      </w:r>
      <w:r>
        <w:rPr>
          <w:rFonts w:hint="eastAsia" w:ascii="Times New Roman" w:hAnsi="Times New Roman" w:eastAsia="方正仿宋_GB2312" w:cs="Times New Roman"/>
          <w:sz w:val="32"/>
          <w:szCs w:val="32"/>
          <w:lang w:val="en-US" w:eastAsia="zh-CN"/>
        </w:rPr>
        <w:t>展开：</w:t>
      </w:r>
      <w:r>
        <w:rPr>
          <w:rFonts w:hint="eastAsia" w:ascii="Times New Roman" w:hAnsi="Times New Roman" w:eastAsia="方正仿宋_GB2312" w:cs="Times New Roman"/>
          <w:b/>
          <w:bCs/>
          <w:sz w:val="32"/>
          <w:szCs w:val="32"/>
          <w:u w:val="single"/>
          <w:lang w:val="en-US" w:eastAsia="zh-CN"/>
        </w:rPr>
        <w:t>人培修订、课标修订、课程整体设计、单元设计、教案设计、评价方案设计、资源制作、规范施教、教学评价、持续改进教学</w:t>
      </w:r>
      <w:r>
        <w:rPr>
          <w:rFonts w:hint="eastAsia" w:ascii="Times New Roman" w:hAnsi="Times New Roman" w:eastAsia="方正仿宋_GB2312" w:cs="Times New Roman"/>
          <w:sz w:val="32"/>
          <w:szCs w:val="32"/>
          <w:lang w:val="en-US" w:eastAsia="zh-CN"/>
        </w:rPr>
        <w:t>，每个培训模块都配备了相应的实践任务和考核标准，确保培训内容与教学实践紧密结合，具有较强的针对性和实用性。</w:t>
      </w:r>
    </w:p>
    <w:p w14:paraId="1FCAC5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（二）培训流程规范化、认证化</w:t>
      </w:r>
    </w:p>
    <w:p w14:paraId="236430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培训采用五阶段认证制度，建立严格的培训质量管控体系：分为</w:t>
      </w:r>
      <w:r>
        <w:rPr>
          <w:rFonts w:hint="eastAsia" w:ascii="Times New Roman" w:hAnsi="Times New Roman" w:eastAsia="方正仿宋_GB2312" w:cs="Times New Roman"/>
          <w:b/>
          <w:bCs/>
          <w:sz w:val="32"/>
          <w:szCs w:val="32"/>
          <w:u w:val="single"/>
          <w:lang w:val="en-US" w:eastAsia="zh-CN"/>
        </w:rPr>
        <w:t>分组训练</w:t>
      </w:r>
      <w:r>
        <w:rPr>
          <w:rFonts w:hint="eastAsia" w:ascii="Times New Roman" w:hAnsi="Times New Roman" w:eastAsia="方正仿宋_GB2312" w:cs="Times New Roman"/>
          <w:sz w:val="32"/>
          <w:szCs w:val="32"/>
          <w:u w:val="none"/>
          <w:lang w:val="en-US" w:eastAsia="zh-CN"/>
        </w:rPr>
        <w:t>（工作坊式培训）</w:t>
      </w:r>
      <w:r>
        <w:rPr>
          <w:rFonts w:hint="eastAsia" w:ascii="Times New Roman" w:hAnsi="Times New Roman" w:eastAsia="方正仿宋_GB2312" w:cs="Times New Roman"/>
          <w:sz w:val="32"/>
          <w:szCs w:val="32"/>
          <w:lang w:val="en-US" w:eastAsia="zh-CN"/>
        </w:rPr>
        <w:t>、</w:t>
      </w:r>
      <w:r>
        <w:rPr>
          <w:rFonts w:hint="eastAsia" w:ascii="Times New Roman" w:hAnsi="Times New Roman" w:eastAsia="方正仿宋_GB2312" w:cs="Times New Roman"/>
          <w:b/>
          <w:bCs/>
          <w:sz w:val="32"/>
          <w:szCs w:val="32"/>
          <w:u w:val="single"/>
          <w:lang w:val="en-US" w:eastAsia="zh-CN"/>
        </w:rPr>
        <w:t>课程设计</w:t>
      </w:r>
      <w:r>
        <w:rPr>
          <w:rFonts w:hint="eastAsia" w:ascii="Times New Roman" w:hAnsi="Times New Roman" w:eastAsia="方正仿宋_GB2312" w:cs="Times New Roman"/>
          <w:sz w:val="32"/>
          <w:szCs w:val="32"/>
          <w:lang w:val="en-US" w:eastAsia="zh-CN"/>
        </w:rPr>
        <w:t>（1学期完成人培制作、课标制作、课程整体设计、课程单元设计、课堂教学设计、评价方案设计、数字化课程资源制作）、</w:t>
      </w:r>
      <w:r>
        <w:rPr>
          <w:rFonts w:hint="eastAsia" w:ascii="Times New Roman" w:hAnsi="Times New Roman" w:eastAsia="方正仿宋_GB2312" w:cs="Times New Roman"/>
          <w:b/>
          <w:bCs/>
          <w:sz w:val="32"/>
          <w:szCs w:val="32"/>
          <w:u w:val="single"/>
          <w:lang w:val="en-US" w:eastAsia="zh-CN"/>
        </w:rPr>
        <w:t>课程实施</w:t>
      </w:r>
      <w:r>
        <w:rPr>
          <w:rFonts w:hint="eastAsia" w:ascii="Times New Roman" w:hAnsi="Times New Roman" w:eastAsia="方正仿宋_GB2312" w:cs="Times New Roman"/>
          <w:sz w:val="32"/>
          <w:szCs w:val="32"/>
          <w:lang w:val="en-US" w:eastAsia="zh-CN"/>
        </w:rPr>
        <w:t>（1学期进行规范施教、质量评价和持续改进教学）、</w:t>
      </w:r>
      <w:r>
        <w:rPr>
          <w:rFonts w:hint="eastAsia" w:ascii="Times New Roman" w:hAnsi="Times New Roman" w:eastAsia="方正仿宋_GB2312" w:cs="Times New Roman"/>
          <w:b/>
          <w:bCs/>
          <w:sz w:val="32"/>
          <w:szCs w:val="32"/>
          <w:u w:val="single"/>
          <w:lang w:val="en-US" w:eastAsia="zh-CN"/>
        </w:rPr>
        <w:t>成果认定和成果展示</w:t>
      </w:r>
      <w:r>
        <w:rPr>
          <w:rFonts w:hint="eastAsia" w:ascii="Times New Roman" w:hAnsi="Times New Roman" w:eastAsia="方正仿宋_GB2312" w:cs="Times New Roman"/>
          <w:sz w:val="32"/>
          <w:szCs w:val="32"/>
          <w:lang w:val="en-US" w:eastAsia="zh-CN"/>
        </w:rPr>
        <w:t>（每个教师使用自己生产的合格课程作为载体，进行2个学期项目改革的成果展示或公开汇报）五阶段。培训过程采用“做中学、学中做</w:t>
      </w:r>
      <w:r>
        <w:rPr>
          <w:rFonts w:hint="eastAsia" w:ascii="Times New Roman" w:hAnsi="Times New Roman" w:eastAsia="方正仿宋_GB2312" w:cs="Times New Roman"/>
          <w:sz w:val="32"/>
          <w:szCs w:val="32"/>
          <w:lang w:eastAsia="zh-CN"/>
        </w:rPr>
        <w:t>”</w:t>
      </w:r>
      <w:r>
        <w:rPr>
          <w:rFonts w:hint="eastAsia" w:ascii="Times New Roman" w:hAnsi="Times New Roman" w:eastAsia="方正仿宋_GB2312" w:cs="Times New Roman"/>
          <w:sz w:val="32"/>
          <w:szCs w:val="32"/>
          <w:lang w:val="en-US" w:eastAsia="zh-CN"/>
        </w:rPr>
        <w:t>的实践模式，通过专家讲座、任务实操、评价反馈、成果验收等环节，确保培训效果落地。</w:t>
      </w:r>
    </w:p>
    <w:p w14:paraId="312F1A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（三）培训指导专业化、精准化</w:t>
      </w:r>
    </w:p>
    <w:p w14:paraId="3E1A6A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培训引入第三方专业机构提供技术支持</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按照教师专业类别分别组织市内外专家团队开展任务实操指导和成果评价</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通过专业化的指导团队和精准化的指导策略，确保每位青年教师都能获得针对性</w:t>
      </w:r>
      <w:r>
        <w:rPr>
          <w:rFonts w:hint="eastAsia" w:ascii="Times New Roman" w:hAnsi="Times New Roman" w:eastAsia="方正仿宋_GB2312" w:cs="Times New Roman"/>
          <w:sz w:val="32"/>
          <w:szCs w:val="32"/>
          <w:lang w:val="en-US" w:eastAsia="zh-CN"/>
        </w:rPr>
        <w:t>地</w:t>
      </w:r>
      <w:r>
        <w:rPr>
          <w:rFonts w:hint="default" w:ascii="Times New Roman" w:hAnsi="Times New Roman" w:eastAsia="方正仿宋_GB2312" w:cs="Times New Roman"/>
          <w:sz w:val="32"/>
          <w:szCs w:val="32"/>
          <w:lang w:val="en-US" w:eastAsia="zh-CN"/>
        </w:rPr>
        <w:t>指导和支持，切实提升教学能力。</w:t>
      </w:r>
    </w:p>
    <w:p w14:paraId="3450202A">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能力提升工坊实施内容</w:t>
      </w:r>
    </w:p>
    <w:tbl>
      <w:tblPr>
        <w:tblStyle w:val="5"/>
        <w:tblpPr w:leftFromText="180" w:rightFromText="180" w:vertAnchor="text" w:horzAnchor="page" w:tblpXSpec="center" w:tblpY="592"/>
        <w:tblOverlap w:val="never"/>
        <w:tblW w:w="9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54"/>
        <w:gridCol w:w="2715"/>
        <w:gridCol w:w="1138"/>
        <w:gridCol w:w="1382"/>
        <w:gridCol w:w="1187"/>
        <w:gridCol w:w="1187"/>
      </w:tblGrid>
      <w:tr w14:paraId="1272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84D62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阶段</w:t>
            </w:r>
          </w:p>
        </w:tc>
        <w:tc>
          <w:tcPr>
            <w:tcW w:w="1254" w:type="dxa"/>
            <w:vAlign w:val="center"/>
          </w:tcPr>
          <w:p w14:paraId="42483D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培训主题</w:t>
            </w:r>
          </w:p>
        </w:tc>
        <w:tc>
          <w:tcPr>
            <w:tcW w:w="2715" w:type="dxa"/>
            <w:vAlign w:val="center"/>
          </w:tcPr>
          <w:p w14:paraId="3E6738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培训内容</w:t>
            </w:r>
          </w:p>
        </w:tc>
        <w:tc>
          <w:tcPr>
            <w:tcW w:w="1138" w:type="dxa"/>
            <w:vAlign w:val="center"/>
          </w:tcPr>
          <w:p w14:paraId="145DC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培训</w:t>
            </w:r>
          </w:p>
          <w:p w14:paraId="1F636B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形式</w:t>
            </w:r>
          </w:p>
        </w:tc>
        <w:tc>
          <w:tcPr>
            <w:tcW w:w="1382" w:type="dxa"/>
            <w:vAlign w:val="center"/>
          </w:tcPr>
          <w:p w14:paraId="559AF3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培训成果</w:t>
            </w:r>
          </w:p>
        </w:tc>
        <w:tc>
          <w:tcPr>
            <w:tcW w:w="1187" w:type="dxa"/>
            <w:vAlign w:val="center"/>
          </w:tcPr>
          <w:p w14:paraId="50DCB7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展示汇报</w:t>
            </w:r>
          </w:p>
        </w:tc>
        <w:tc>
          <w:tcPr>
            <w:tcW w:w="1187" w:type="dxa"/>
            <w:vAlign w:val="center"/>
          </w:tcPr>
          <w:p w14:paraId="6A4C87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培训时间</w:t>
            </w:r>
          </w:p>
        </w:tc>
      </w:tr>
      <w:tr w14:paraId="74B1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973C3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eastAsia="zh-CN"/>
              </w:rPr>
              <w:t>第一阶段：</w:t>
            </w:r>
            <w:r>
              <w:rPr>
                <w:rFonts w:hint="eastAsia" w:ascii="Times New Roman" w:hAnsi="Times New Roman" w:eastAsia="方正仿宋_GB2312" w:cs="Times New Roman"/>
                <w:sz w:val="24"/>
                <w:szCs w:val="24"/>
                <w:vertAlign w:val="baseline"/>
                <w:lang w:val="en-US" w:eastAsia="zh-CN"/>
              </w:rPr>
              <w:t>专题讲座</w:t>
            </w:r>
          </w:p>
        </w:tc>
        <w:tc>
          <w:tcPr>
            <w:tcW w:w="1254" w:type="dxa"/>
            <w:vAlign w:val="center"/>
          </w:tcPr>
          <w:p w14:paraId="5C76C7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专家工作坊培训</w:t>
            </w:r>
          </w:p>
        </w:tc>
        <w:tc>
          <w:tcPr>
            <w:tcW w:w="2715" w:type="dxa"/>
            <w:vAlign w:val="center"/>
          </w:tcPr>
          <w:p w14:paraId="37EBA4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邀请专家以一门课程为例，对教师分组，进行工作坊培训，梳理并完成课程标准、课程整体设计、课程单元设计、教案设计的其中一个子任务或一节课的真实任务流程。</w:t>
            </w:r>
          </w:p>
        </w:tc>
        <w:tc>
          <w:tcPr>
            <w:tcW w:w="1138" w:type="dxa"/>
            <w:vAlign w:val="center"/>
          </w:tcPr>
          <w:p w14:paraId="681C68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线下讲座</w:t>
            </w:r>
          </w:p>
        </w:tc>
        <w:tc>
          <w:tcPr>
            <w:tcW w:w="1382" w:type="dxa"/>
            <w:vAlign w:val="center"/>
          </w:tcPr>
          <w:p w14:paraId="111C35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1份培训总结</w:t>
            </w:r>
          </w:p>
        </w:tc>
        <w:tc>
          <w:tcPr>
            <w:tcW w:w="1187" w:type="dxa"/>
            <w:vAlign w:val="center"/>
          </w:tcPr>
          <w:p w14:paraId="51A0CB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无</w:t>
            </w:r>
          </w:p>
        </w:tc>
        <w:tc>
          <w:tcPr>
            <w:tcW w:w="1187" w:type="dxa"/>
            <w:vAlign w:val="center"/>
          </w:tcPr>
          <w:p w14:paraId="4CF5B1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2025.04-05</w:t>
            </w:r>
          </w:p>
        </w:tc>
      </w:tr>
      <w:tr w14:paraId="349A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2DB2E0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eastAsia="zh-CN"/>
              </w:rPr>
              <w:t>第二阶段：</w:t>
            </w:r>
            <w:r>
              <w:rPr>
                <w:rFonts w:hint="eastAsia" w:ascii="Times New Roman" w:hAnsi="Times New Roman" w:eastAsia="方正仿宋_GB2312" w:cs="Times New Roman"/>
                <w:sz w:val="24"/>
                <w:szCs w:val="24"/>
                <w:vertAlign w:val="baseline"/>
                <w:lang w:val="en-US" w:eastAsia="zh-CN"/>
              </w:rPr>
              <w:t>分组实践</w:t>
            </w:r>
          </w:p>
        </w:tc>
        <w:tc>
          <w:tcPr>
            <w:tcW w:w="1254" w:type="dxa"/>
            <w:vAlign w:val="center"/>
          </w:tcPr>
          <w:p w14:paraId="577B8D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人培制作</w:t>
            </w:r>
          </w:p>
        </w:tc>
        <w:tc>
          <w:tcPr>
            <w:tcW w:w="2715" w:type="dxa"/>
            <w:vMerge w:val="restart"/>
            <w:vAlign w:val="center"/>
          </w:tcPr>
          <w:p w14:paraId="48F927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rPr>
              <w:t>辅导专家团队与教师分组结对，就课程标准、课程整体设计、单元设计、单元评价方案设计、教案设计等进行一个学期的线上伴随辅导、答疑，直至定稿</w:t>
            </w:r>
            <w:r>
              <w:rPr>
                <w:rFonts w:hint="default" w:ascii="Times New Roman" w:hAnsi="Times New Roman" w:eastAsia="方正仿宋_GB2312" w:cs="Times New Roman"/>
                <w:sz w:val="24"/>
                <w:szCs w:val="24"/>
                <w:vertAlign w:val="baseline"/>
                <w:lang w:eastAsia="zh-CN"/>
              </w:rPr>
              <w:t>。评审专家团队对培训成果逐一评审。召开专家评审会，总结不足，提出改进建议。组织专家对未达要求作品及教师进行帮扶。</w:t>
            </w:r>
          </w:p>
        </w:tc>
        <w:tc>
          <w:tcPr>
            <w:tcW w:w="1138" w:type="dxa"/>
            <w:vMerge w:val="restart"/>
            <w:vAlign w:val="center"/>
          </w:tcPr>
          <w:p w14:paraId="64177B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线上伴随辅导、答疑</w:t>
            </w:r>
          </w:p>
        </w:tc>
        <w:tc>
          <w:tcPr>
            <w:tcW w:w="1382" w:type="dxa"/>
            <w:vAlign w:val="center"/>
          </w:tcPr>
          <w:p w14:paraId="4B0128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val="en-US" w:eastAsia="zh-CN"/>
              </w:rPr>
              <w:t>1份</w:t>
            </w:r>
            <w:r>
              <w:rPr>
                <w:rFonts w:hint="default" w:ascii="Times New Roman" w:hAnsi="Times New Roman" w:eastAsia="方正仿宋_GB2312" w:cs="Times New Roman"/>
                <w:sz w:val="24"/>
                <w:szCs w:val="24"/>
                <w:vertAlign w:val="baseline"/>
                <w:lang w:eastAsia="zh-CN"/>
              </w:rPr>
              <w:t>专业调研报告、</w:t>
            </w:r>
            <w:r>
              <w:rPr>
                <w:rFonts w:hint="default" w:ascii="Times New Roman" w:hAnsi="Times New Roman" w:eastAsia="方正仿宋_GB2312" w:cs="Times New Roman"/>
                <w:sz w:val="24"/>
                <w:szCs w:val="24"/>
                <w:vertAlign w:val="baseline"/>
                <w:lang w:val="en-US" w:eastAsia="zh-CN"/>
              </w:rPr>
              <w:t>1份</w:t>
            </w:r>
            <w:r>
              <w:rPr>
                <w:rFonts w:hint="default" w:ascii="Times New Roman" w:hAnsi="Times New Roman" w:eastAsia="方正仿宋_GB2312" w:cs="Times New Roman"/>
                <w:sz w:val="24"/>
                <w:szCs w:val="24"/>
                <w:vertAlign w:val="baseline"/>
                <w:lang w:eastAsia="zh-CN"/>
              </w:rPr>
              <w:t>人才培养方案</w:t>
            </w:r>
          </w:p>
        </w:tc>
        <w:tc>
          <w:tcPr>
            <w:tcW w:w="1187" w:type="dxa"/>
            <w:vMerge w:val="restart"/>
            <w:vAlign w:val="center"/>
          </w:tcPr>
          <w:p w14:paraId="4829FB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解读人才培养方案说课程标准</w:t>
            </w:r>
          </w:p>
        </w:tc>
        <w:tc>
          <w:tcPr>
            <w:tcW w:w="1187" w:type="dxa"/>
            <w:vMerge w:val="restart"/>
            <w:vAlign w:val="center"/>
          </w:tcPr>
          <w:p w14:paraId="5F6E23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2025.05</w:t>
            </w:r>
          </w:p>
        </w:tc>
      </w:tr>
      <w:tr w14:paraId="1191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7CB4E5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254" w:type="dxa"/>
            <w:vAlign w:val="center"/>
          </w:tcPr>
          <w:p w14:paraId="5BCE92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课标制作</w:t>
            </w:r>
          </w:p>
        </w:tc>
        <w:tc>
          <w:tcPr>
            <w:tcW w:w="2715" w:type="dxa"/>
            <w:vMerge w:val="continue"/>
            <w:vAlign w:val="center"/>
          </w:tcPr>
          <w:p w14:paraId="3D820F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2312" w:cs="Times New Roman"/>
                <w:sz w:val="24"/>
                <w:szCs w:val="24"/>
                <w:vertAlign w:val="baseline"/>
              </w:rPr>
            </w:pPr>
          </w:p>
        </w:tc>
        <w:tc>
          <w:tcPr>
            <w:tcW w:w="1138" w:type="dxa"/>
            <w:vMerge w:val="continue"/>
            <w:vAlign w:val="center"/>
          </w:tcPr>
          <w:p w14:paraId="54E3EE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p>
        </w:tc>
        <w:tc>
          <w:tcPr>
            <w:tcW w:w="1382" w:type="dxa"/>
            <w:vAlign w:val="center"/>
          </w:tcPr>
          <w:p w14:paraId="66B7D2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val="en-US" w:eastAsia="zh-CN"/>
              </w:rPr>
              <w:t>1份</w:t>
            </w:r>
            <w:r>
              <w:rPr>
                <w:rFonts w:hint="default" w:ascii="Times New Roman" w:hAnsi="Times New Roman" w:eastAsia="方正仿宋_GB2312" w:cs="Times New Roman"/>
                <w:sz w:val="24"/>
                <w:szCs w:val="24"/>
                <w:vertAlign w:val="baseline"/>
                <w:lang w:eastAsia="zh-CN"/>
              </w:rPr>
              <w:t>课程标准</w:t>
            </w:r>
          </w:p>
        </w:tc>
        <w:tc>
          <w:tcPr>
            <w:tcW w:w="1187" w:type="dxa"/>
            <w:vMerge w:val="continue"/>
            <w:vAlign w:val="center"/>
          </w:tcPr>
          <w:p w14:paraId="316847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p>
        </w:tc>
        <w:tc>
          <w:tcPr>
            <w:tcW w:w="1187" w:type="dxa"/>
            <w:vMerge w:val="continue"/>
            <w:vAlign w:val="center"/>
          </w:tcPr>
          <w:p w14:paraId="38D191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r>
      <w:tr w14:paraId="10E0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0B672D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254" w:type="dxa"/>
            <w:vAlign w:val="center"/>
          </w:tcPr>
          <w:p w14:paraId="781E8A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课程整体设计</w:t>
            </w:r>
          </w:p>
        </w:tc>
        <w:tc>
          <w:tcPr>
            <w:tcW w:w="2715" w:type="dxa"/>
            <w:vMerge w:val="continue"/>
            <w:vAlign w:val="center"/>
          </w:tcPr>
          <w:p w14:paraId="383801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138" w:type="dxa"/>
            <w:vMerge w:val="continue"/>
            <w:vAlign w:val="center"/>
          </w:tcPr>
          <w:p w14:paraId="415C89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p>
        </w:tc>
        <w:tc>
          <w:tcPr>
            <w:tcW w:w="1382" w:type="dxa"/>
            <w:vAlign w:val="center"/>
          </w:tcPr>
          <w:p w14:paraId="17B9A1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val="en-US" w:eastAsia="zh-CN"/>
              </w:rPr>
              <w:t>1个</w:t>
            </w:r>
            <w:r>
              <w:rPr>
                <w:rFonts w:hint="default" w:ascii="Times New Roman" w:hAnsi="Times New Roman" w:eastAsia="方正仿宋_GB2312" w:cs="Times New Roman"/>
                <w:sz w:val="24"/>
                <w:szCs w:val="24"/>
                <w:vertAlign w:val="baseline"/>
                <w:lang w:eastAsia="zh-CN"/>
              </w:rPr>
              <w:t>课程整体设计</w:t>
            </w:r>
          </w:p>
        </w:tc>
        <w:tc>
          <w:tcPr>
            <w:tcW w:w="1187" w:type="dxa"/>
            <w:vMerge w:val="restart"/>
            <w:vAlign w:val="center"/>
          </w:tcPr>
          <w:p w14:paraId="4A8A53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说三类设计</w:t>
            </w:r>
          </w:p>
        </w:tc>
        <w:tc>
          <w:tcPr>
            <w:tcW w:w="1187" w:type="dxa"/>
            <w:vMerge w:val="restart"/>
            <w:vAlign w:val="center"/>
          </w:tcPr>
          <w:p w14:paraId="365582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2025.06</w:t>
            </w:r>
          </w:p>
        </w:tc>
      </w:tr>
      <w:tr w14:paraId="1CA5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08662C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254" w:type="dxa"/>
            <w:vAlign w:val="center"/>
          </w:tcPr>
          <w:p w14:paraId="36A6A8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课程单元设计</w:t>
            </w:r>
          </w:p>
        </w:tc>
        <w:tc>
          <w:tcPr>
            <w:tcW w:w="2715" w:type="dxa"/>
            <w:vMerge w:val="continue"/>
            <w:vAlign w:val="center"/>
          </w:tcPr>
          <w:p w14:paraId="0CA450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138" w:type="dxa"/>
            <w:vMerge w:val="continue"/>
            <w:vAlign w:val="center"/>
          </w:tcPr>
          <w:p w14:paraId="280A9D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382" w:type="dxa"/>
            <w:vAlign w:val="center"/>
          </w:tcPr>
          <w:p w14:paraId="2B8BA4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1个课程单元设计</w:t>
            </w:r>
          </w:p>
        </w:tc>
        <w:tc>
          <w:tcPr>
            <w:tcW w:w="1187" w:type="dxa"/>
            <w:vMerge w:val="continue"/>
            <w:vAlign w:val="center"/>
          </w:tcPr>
          <w:p w14:paraId="2BE295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187" w:type="dxa"/>
            <w:vMerge w:val="continue"/>
            <w:vAlign w:val="center"/>
          </w:tcPr>
          <w:p w14:paraId="7C9D29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r>
      <w:tr w14:paraId="3A4F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6D5FFA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254" w:type="dxa"/>
            <w:vAlign w:val="center"/>
          </w:tcPr>
          <w:p w14:paraId="160DE5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教案设计</w:t>
            </w:r>
          </w:p>
        </w:tc>
        <w:tc>
          <w:tcPr>
            <w:tcW w:w="2715" w:type="dxa"/>
            <w:vMerge w:val="continue"/>
            <w:vAlign w:val="center"/>
          </w:tcPr>
          <w:p w14:paraId="637C12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138" w:type="dxa"/>
            <w:vMerge w:val="continue"/>
            <w:vAlign w:val="center"/>
          </w:tcPr>
          <w:p w14:paraId="266908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382" w:type="dxa"/>
            <w:vAlign w:val="center"/>
          </w:tcPr>
          <w:p w14:paraId="00349F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1个教案设计</w:t>
            </w:r>
          </w:p>
        </w:tc>
        <w:tc>
          <w:tcPr>
            <w:tcW w:w="1187" w:type="dxa"/>
            <w:vMerge w:val="continue"/>
            <w:vAlign w:val="center"/>
          </w:tcPr>
          <w:p w14:paraId="50A206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187" w:type="dxa"/>
            <w:vMerge w:val="continue"/>
            <w:vAlign w:val="center"/>
          </w:tcPr>
          <w:p w14:paraId="36F8B3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r>
      <w:tr w14:paraId="0513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794D6A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254" w:type="dxa"/>
            <w:vAlign w:val="center"/>
          </w:tcPr>
          <w:p w14:paraId="12B6A2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评价方案设计</w:t>
            </w:r>
          </w:p>
        </w:tc>
        <w:tc>
          <w:tcPr>
            <w:tcW w:w="2715" w:type="dxa"/>
            <w:vMerge w:val="continue"/>
            <w:vAlign w:val="center"/>
          </w:tcPr>
          <w:p w14:paraId="7E6C4B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138" w:type="dxa"/>
            <w:vMerge w:val="continue"/>
            <w:vAlign w:val="center"/>
          </w:tcPr>
          <w:p w14:paraId="1C09A7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p>
        </w:tc>
        <w:tc>
          <w:tcPr>
            <w:tcW w:w="1382" w:type="dxa"/>
            <w:vAlign w:val="center"/>
          </w:tcPr>
          <w:p w14:paraId="04EB15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1个课程单元评价方案设计</w:t>
            </w:r>
          </w:p>
        </w:tc>
        <w:tc>
          <w:tcPr>
            <w:tcW w:w="1187" w:type="dxa"/>
            <w:vAlign w:val="center"/>
          </w:tcPr>
          <w:p w14:paraId="65F0DA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说课程评价</w:t>
            </w:r>
          </w:p>
        </w:tc>
        <w:tc>
          <w:tcPr>
            <w:tcW w:w="1187" w:type="dxa"/>
            <w:vAlign w:val="center"/>
          </w:tcPr>
          <w:p w14:paraId="4684C8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2025.07</w:t>
            </w:r>
          </w:p>
        </w:tc>
      </w:tr>
      <w:tr w14:paraId="6401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231C65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eastAsia="zh-CN"/>
              </w:rPr>
              <w:t>第三阶段</w:t>
            </w:r>
            <w:r>
              <w:rPr>
                <w:rFonts w:hint="eastAsia" w:ascii="Times New Roman" w:hAnsi="Times New Roman" w:eastAsia="方正仿宋_GB2312" w:cs="Times New Roman"/>
                <w:sz w:val="24"/>
                <w:szCs w:val="24"/>
                <w:vertAlign w:val="baseline"/>
                <w:lang w:eastAsia="zh-CN"/>
              </w:rPr>
              <w:t>：</w:t>
            </w:r>
            <w:r>
              <w:rPr>
                <w:rFonts w:hint="eastAsia" w:ascii="Times New Roman" w:hAnsi="Times New Roman" w:eastAsia="方正仿宋_GB2312" w:cs="Times New Roman"/>
                <w:color w:val="000000" w:themeColor="text1"/>
                <w:sz w:val="24"/>
                <w:szCs w:val="24"/>
                <w:vertAlign w:val="baseline"/>
                <w:lang w:val="en-US" w:eastAsia="zh-CN"/>
                <w14:textFill>
                  <w14:solidFill>
                    <w14:schemeClr w14:val="tx1"/>
                  </w14:solidFill>
                </w14:textFill>
              </w:rPr>
              <w:t>评价改进</w:t>
            </w:r>
          </w:p>
        </w:tc>
        <w:tc>
          <w:tcPr>
            <w:tcW w:w="1254" w:type="dxa"/>
            <w:vAlign w:val="center"/>
          </w:tcPr>
          <w:p w14:paraId="5E302F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规范施教</w:t>
            </w:r>
          </w:p>
        </w:tc>
        <w:tc>
          <w:tcPr>
            <w:tcW w:w="2715" w:type="dxa"/>
            <w:vMerge w:val="restart"/>
            <w:vAlign w:val="center"/>
          </w:tcPr>
          <w:p w14:paraId="29E1CD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rPr>
              <w:t>对于教学实施过程持续改进，结合学校实际实施情况，辅导专家进行线上培训给出改进意见</w:t>
            </w:r>
            <w:r>
              <w:rPr>
                <w:rFonts w:hint="default" w:ascii="Times New Roman" w:hAnsi="Times New Roman" w:eastAsia="方正仿宋_GB2312" w:cs="Times New Roman"/>
                <w:sz w:val="24"/>
                <w:szCs w:val="24"/>
                <w:vertAlign w:val="baseline"/>
                <w:lang w:eastAsia="zh-CN"/>
              </w:rPr>
              <w:t>。</w:t>
            </w:r>
            <w:r>
              <w:rPr>
                <w:rFonts w:hint="default" w:ascii="Times New Roman" w:hAnsi="Times New Roman" w:eastAsia="方正仿宋_GB2312" w:cs="Times New Roman"/>
                <w:sz w:val="24"/>
                <w:szCs w:val="24"/>
                <w:vertAlign w:val="baseline"/>
              </w:rPr>
              <w:t>评审专家进行一次现场听课</w:t>
            </w:r>
            <w:r>
              <w:rPr>
                <w:rFonts w:hint="default" w:ascii="Times New Roman" w:hAnsi="Times New Roman" w:eastAsia="方正仿宋_GB2312" w:cs="Times New Roman"/>
                <w:sz w:val="24"/>
                <w:szCs w:val="24"/>
                <w:vertAlign w:val="baseline"/>
                <w:lang w:eastAsia="zh-CN"/>
              </w:rPr>
              <w:t>。校内外评审专家依据现场听课评审情况，给出改进意见</w:t>
            </w:r>
          </w:p>
        </w:tc>
        <w:tc>
          <w:tcPr>
            <w:tcW w:w="1138" w:type="dxa"/>
            <w:vAlign w:val="center"/>
          </w:tcPr>
          <w:p w14:paraId="6A4095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线上评审、指导</w:t>
            </w:r>
          </w:p>
        </w:tc>
        <w:tc>
          <w:tcPr>
            <w:tcW w:w="1382" w:type="dxa"/>
            <w:vAlign w:val="center"/>
          </w:tcPr>
          <w:p w14:paraId="5AE81B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1个</w:t>
            </w:r>
            <w:r>
              <w:rPr>
                <w:rFonts w:hint="default" w:ascii="Times New Roman" w:hAnsi="Times New Roman" w:eastAsia="方正仿宋_GB2312" w:cs="Times New Roman"/>
                <w:sz w:val="24"/>
                <w:szCs w:val="24"/>
                <w:vertAlign w:val="baseline"/>
                <w:lang w:eastAsia="zh-CN"/>
              </w:rPr>
              <w:t>无生说课视频</w:t>
            </w:r>
          </w:p>
        </w:tc>
        <w:tc>
          <w:tcPr>
            <w:tcW w:w="1187" w:type="dxa"/>
            <w:vAlign w:val="center"/>
          </w:tcPr>
          <w:p w14:paraId="15A106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无生说课</w:t>
            </w:r>
          </w:p>
        </w:tc>
        <w:tc>
          <w:tcPr>
            <w:tcW w:w="1187" w:type="dxa"/>
            <w:vAlign w:val="center"/>
          </w:tcPr>
          <w:p w14:paraId="29E408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2025.9</w:t>
            </w:r>
          </w:p>
        </w:tc>
      </w:tr>
      <w:tr w14:paraId="1377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21C9AF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p>
        </w:tc>
        <w:tc>
          <w:tcPr>
            <w:tcW w:w="1254" w:type="dxa"/>
            <w:vAlign w:val="center"/>
          </w:tcPr>
          <w:p w14:paraId="0EC7D7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质量评价</w:t>
            </w:r>
          </w:p>
        </w:tc>
        <w:tc>
          <w:tcPr>
            <w:tcW w:w="2715" w:type="dxa"/>
            <w:vMerge w:val="continue"/>
            <w:vAlign w:val="center"/>
          </w:tcPr>
          <w:p w14:paraId="0BB869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138" w:type="dxa"/>
            <w:vAlign w:val="center"/>
          </w:tcPr>
          <w:p w14:paraId="0F6EFF5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线下听课、评审</w:t>
            </w:r>
          </w:p>
        </w:tc>
        <w:tc>
          <w:tcPr>
            <w:tcW w:w="1382" w:type="dxa"/>
            <w:vAlign w:val="center"/>
          </w:tcPr>
          <w:p w14:paraId="27DAFB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1个有效课堂说课视频</w:t>
            </w:r>
          </w:p>
        </w:tc>
        <w:tc>
          <w:tcPr>
            <w:tcW w:w="1187" w:type="dxa"/>
            <w:vAlign w:val="center"/>
          </w:tcPr>
          <w:p w14:paraId="5D4F16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说有效课堂</w:t>
            </w:r>
          </w:p>
        </w:tc>
        <w:tc>
          <w:tcPr>
            <w:tcW w:w="1187" w:type="dxa"/>
            <w:vAlign w:val="center"/>
          </w:tcPr>
          <w:p w14:paraId="6F9EC1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2025.10</w:t>
            </w:r>
          </w:p>
        </w:tc>
      </w:tr>
      <w:tr w14:paraId="5B4A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54B43C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p>
        </w:tc>
        <w:tc>
          <w:tcPr>
            <w:tcW w:w="1254" w:type="dxa"/>
            <w:vAlign w:val="center"/>
          </w:tcPr>
          <w:p w14:paraId="785662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持续改进教学</w:t>
            </w:r>
          </w:p>
        </w:tc>
        <w:tc>
          <w:tcPr>
            <w:tcW w:w="2715" w:type="dxa"/>
            <w:vMerge w:val="continue"/>
            <w:vAlign w:val="center"/>
          </w:tcPr>
          <w:p w14:paraId="6FFBC2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rPr>
            </w:pPr>
          </w:p>
        </w:tc>
        <w:tc>
          <w:tcPr>
            <w:tcW w:w="1138" w:type="dxa"/>
            <w:vAlign w:val="center"/>
          </w:tcPr>
          <w:p w14:paraId="44F5CC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线上评审、指导</w:t>
            </w:r>
          </w:p>
        </w:tc>
        <w:tc>
          <w:tcPr>
            <w:tcW w:w="1382" w:type="dxa"/>
            <w:vAlign w:val="center"/>
          </w:tcPr>
          <w:p w14:paraId="6997EF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1个质量与持续改进说课视频</w:t>
            </w:r>
          </w:p>
        </w:tc>
        <w:tc>
          <w:tcPr>
            <w:tcW w:w="1187" w:type="dxa"/>
            <w:vAlign w:val="center"/>
          </w:tcPr>
          <w:p w14:paraId="3B0555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eastAsia="zh-CN"/>
              </w:rPr>
            </w:pPr>
            <w:r>
              <w:rPr>
                <w:rFonts w:hint="default" w:ascii="Times New Roman" w:hAnsi="Times New Roman" w:eastAsia="方正仿宋_GB2312" w:cs="Times New Roman"/>
                <w:sz w:val="24"/>
                <w:szCs w:val="24"/>
                <w:vertAlign w:val="baseline"/>
                <w:lang w:eastAsia="zh-CN"/>
              </w:rPr>
              <w:t>说质量与持续改进</w:t>
            </w:r>
          </w:p>
        </w:tc>
        <w:tc>
          <w:tcPr>
            <w:tcW w:w="1187" w:type="dxa"/>
            <w:vAlign w:val="center"/>
          </w:tcPr>
          <w:p w14:paraId="1A2E20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2312" w:cs="Times New Roman"/>
                <w:sz w:val="24"/>
                <w:szCs w:val="24"/>
                <w:vertAlign w:val="baseline"/>
                <w:lang w:val="en-US" w:eastAsia="zh-CN"/>
              </w:rPr>
            </w:pPr>
            <w:r>
              <w:rPr>
                <w:rFonts w:hint="default" w:ascii="Times New Roman" w:hAnsi="Times New Roman" w:eastAsia="方正仿宋_GB2312" w:cs="Times New Roman"/>
                <w:sz w:val="24"/>
                <w:szCs w:val="24"/>
                <w:vertAlign w:val="baseline"/>
                <w:lang w:val="en-US" w:eastAsia="zh-CN"/>
              </w:rPr>
              <w:t>2025.11</w:t>
            </w:r>
          </w:p>
        </w:tc>
      </w:tr>
    </w:tbl>
    <w:p w14:paraId="4FEFAA74">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outlineLvl w:val="0"/>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t>组织保障</w:t>
      </w:r>
    </w:p>
    <w:p w14:paraId="6CD328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（一）建立健全组织管理体系</w:t>
      </w:r>
    </w:p>
    <w:p w14:paraId="071C70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1.成立专项工作小组</w:t>
      </w:r>
    </w:p>
    <w:p w14:paraId="0C62B7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（1）领导小组</w:t>
      </w:r>
    </w:p>
    <w:p w14:paraId="0B49FB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组长：柴彬堂</w:t>
      </w:r>
    </w:p>
    <w:p w14:paraId="0F45C2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成员：</w:t>
      </w:r>
      <w:bookmarkStart w:id="0" w:name="OLE_LINK1"/>
      <w:r>
        <w:rPr>
          <w:rFonts w:hint="eastAsia" w:ascii="Times New Roman" w:hAnsi="Times New Roman" w:eastAsia="方正仿宋_GB2312" w:cs="Times New Roman"/>
          <w:sz w:val="32"/>
          <w:szCs w:val="32"/>
          <w:lang w:val="en-US" w:eastAsia="zh-CN"/>
        </w:rPr>
        <w:t>万美春</w:t>
      </w:r>
      <w:bookmarkEnd w:id="0"/>
      <w:r>
        <w:rPr>
          <w:rFonts w:hint="eastAsia" w:ascii="Times New Roman" w:hAnsi="Times New Roman" w:eastAsia="方正仿宋_GB2312" w:cs="Times New Roman"/>
          <w:sz w:val="32"/>
          <w:szCs w:val="32"/>
          <w:lang w:val="en-US" w:eastAsia="zh-CN"/>
        </w:rPr>
        <w:t>、张婕、黄玉兰</w:t>
      </w:r>
    </w:p>
    <w:p w14:paraId="3C2049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职责：负责项目的总体规划、资源调配和重大事项决策，确保项目顺利推进。</w:t>
      </w:r>
    </w:p>
    <w:p w14:paraId="5EEAE9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（2）工作小组</w:t>
      </w:r>
    </w:p>
    <w:p w14:paraId="41D357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组长：万美春、王闲平</w:t>
      </w:r>
    </w:p>
    <w:p w14:paraId="47E264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成员：李琪、黄兰华、杨乐、龚锋、彭阳、肖建敏、余松霖</w:t>
      </w:r>
      <w:bookmarkStart w:id="1" w:name="_GoBack"/>
      <w:bookmarkEnd w:id="1"/>
    </w:p>
    <w:p w14:paraId="7D64A4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职责：负责培训方案的具体实施、过程管理和质量监控，确保培训工作按计划进行。</w:t>
      </w:r>
    </w:p>
    <w:p w14:paraId="1BD6BB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Times New Roman" w:hAnsi="Times New Roman" w:eastAsia="方正仿宋_GB2312" w:cs="Times New Roman"/>
          <w:sz w:val="32"/>
          <w:szCs w:val="32"/>
          <w:lang w:val="en-US" w:eastAsia="zh-CN"/>
        </w:rPr>
        <w:t>2.‌运行机制</w:t>
      </w:r>
      <w:r>
        <w:rPr>
          <w:rFonts w:hint="eastAsia" w:ascii="方正楷体_GBK" w:hAnsi="方正楷体_GBK" w:eastAsia="方正楷体_GBK" w:cs="方正楷体_GBK"/>
          <w:sz w:val="32"/>
          <w:szCs w:val="32"/>
          <w:lang w:val="en-US" w:eastAsia="zh-CN"/>
        </w:rPr>
        <w:t>‌</w:t>
      </w:r>
    </w:p>
    <w:p w14:paraId="714A40A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建立“月例会”制度，推进落实各阶段培训。由组长召集二级学院负责人及项目培训专家召开会议，总结前一阶段培训存在的问题及不足，通报优秀培训成果，提出下一阶段培训要求，并形成会议纪要存档，确保信息透明和任务明确。</w:t>
      </w:r>
    </w:p>
    <w:p w14:paraId="52BDFD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（二）培训项目进度监控机制</w:t>
      </w:r>
    </w:p>
    <w:p w14:paraId="58FF85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_GB2312" w:cs="Times New Roman"/>
          <w:sz w:val="32"/>
          <w:szCs w:val="32"/>
          <w:lang w:val="en-US" w:eastAsia="zh-CN"/>
        </w:rPr>
        <w:t>1.‌过程管理</w:t>
      </w:r>
      <w:r>
        <w:rPr>
          <w:rFonts w:hint="default" w:ascii="Times New Roman" w:hAnsi="Times New Roman" w:eastAsia="方正仿宋简体" w:cs="Times New Roman"/>
          <w:sz w:val="32"/>
          <w:szCs w:val="32"/>
        </w:rPr>
        <w:t>‌</w:t>
      </w:r>
    </w:p>
    <w:p w14:paraId="0C7C8D3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制定《项目进度控制表》，明确10项实施内容的关键节点（如课程设计完成时限、资源制作验收标准），实时更新进度。</w:t>
      </w:r>
    </w:p>
    <w:p w14:paraId="5937EA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实行月评制度：</w:t>
      </w:r>
      <w:r>
        <w:rPr>
          <w:rFonts w:hint="eastAsia" w:ascii="Times New Roman" w:hAnsi="Times New Roman" w:eastAsia="方正仿宋_GB2312" w:cs="Times New Roman"/>
          <w:sz w:val="32"/>
          <w:szCs w:val="32"/>
          <w:lang w:val="en-US" w:eastAsia="zh-CN"/>
        </w:rPr>
        <w:t>工作小组每月</w:t>
      </w:r>
      <w:r>
        <w:rPr>
          <w:rFonts w:hint="default" w:ascii="Times New Roman" w:hAnsi="Times New Roman" w:eastAsia="方正仿宋_GB2312" w:cs="Times New Roman"/>
          <w:sz w:val="32"/>
          <w:szCs w:val="32"/>
          <w:lang w:val="en-US" w:eastAsia="zh-CN"/>
        </w:rPr>
        <w:t>组织开展质量评估</w:t>
      </w:r>
      <w:r>
        <w:rPr>
          <w:rFonts w:hint="eastAsia" w:ascii="Times New Roman" w:hAnsi="Times New Roman" w:eastAsia="方正仿宋_GB2312" w:cs="Times New Roman"/>
          <w:sz w:val="32"/>
          <w:szCs w:val="32"/>
          <w:lang w:val="en-US" w:eastAsia="zh-CN"/>
        </w:rPr>
        <w:t>，对每月成果提交情况进行汇总收集，在每月例会中通报成果完成情况，督促整改和落实</w:t>
      </w:r>
      <w:r>
        <w:rPr>
          <w:rFonts w:hint="default" w:ascii="Times New Roman" w:hAnsi="Times New Roman" w:eastAsia="方正仿宋_GB2312" w:cs="Times New Roman"/>
          <w:sz w:val="32"/>
          <w:szCs w:val="32"/>
          <w:lang w:val="en-US" w:eastAsia="zh-CN"/>
        </w:rPr>
        <w:t>。</w:t>
      </w:r>
      <w:r>
        <w:rPr>
          <w:rFonts w:hint="eastAsia" w:ascii="Times New Roman" w:hAnsi="Times New Roman" w:eastAsia="方正仿宋_GB2312" w:cs="Times New Roman"/>
          <w:sz w:val="32"/>
          <w:szCs w:val="32"/>
          <w:lang w:val="en-US" w:eastAsia="zh-CN"/>
        </w:rPr>
        <w:t>同时做好月度培训成果的评比奖励工作，将奖励及时兑现，激励学员积极参与。</w:t>
      </w:r>
    </w:p>
    <w:p w14:paraId="4DBA6C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rPr>
      </w:pPr>
      <w:r>
        <w:rPr>
          <w:rFonts w:hint="eastAsia" w:ascii="Times New Roman" w:hAnsi="Times New Roman" w:eastAsia="方正仿宋_GB2312" w:cs="Times New Roman"/>
          <w:sz w:val="32"/>
          <w:szCs w:val="32"/>
          <w:lang w:val="en-US" w:eastAsia="zh-CN"/>
        </w:rPr>
        <w:t>2.</w:t>
      </w:r>
      <w:r>
        <w:rPr>
          <w:rFonts w:hint="default" w:ascii="Times New Roman" w:hAnsi="Times New Roman" w:eastAsia="方正仿宋_GB2312" w:cs="Times New Roman"/>
          <w:sz w:val="32"/>
          <w:szCs w:val="32"/>
          <w:lang w:val="en-US" w:eastAsia="zh-CN"/>
        </w:rPr>
        <w:t>‌风险预警</w:t>
      </w:r>
      <w:r>
        <w:rPr>
          <w:rFonts w:hint="default" w:ascii="Times New Roman" w:hAnsi="Times New Roman" w:eastAsia="方正仿宋简体" w:cs="Times New Roman"/>
          <w:sz w:val="32"/>
          <w:szCs w:val="32"/>
        </w:rPr>
        <w:t>‌</w:t>
      </w:r>
    </w:p>
    <w:p w14:paraId="1494E6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针对</w:t>
      </w:r>
      <w:r>
        <w:rPr>
          <w:rFonts w:hint="eastAsia" w:ascii="Times New Roman" w:hAnsi="Times New Roman" w:eastAsia="方正仿宋_GB2312" w:cs="Times New Roman"/>
          <w:sz w:val="32"/>
          <w:szCs w:val="32"/>
          <w:lang w:val="en-US" w:eastAsia="zh-CN"/>
        </w:rPr>
        <w:t>培训学员中成果提交时间严重</w:t>
      </w:r>
      <w:r>
        <w:rPr>
          <w:rFonts w:hint="default" w:ascii="Times New Roman" w:hAnsi="Times New Roman" w:eastAsia="方正仿宋_GB2312" w:cs="Times New Roman"/>
          <w:sz w:val="32"/>
          <w:szCs w:val="32"/>
          <w:lang w:val="en-US" w:eastAsia="zh-CN"/>
        </w:rPr>
        <w:t>滞后</w:t>
      </w:r>
      <w:r>
        <w:rPr>
          <w:rFonts w:hint="eastAsia" w:ascii="Times New Roman" w:hAnsi="Times New Roman" w:eastAsia="方正仿宋_GB2312" w:cs="Times New Roman"/>
          <w:sz w:val="32"/>
          <w:szCs w:val="32"/>
          <w:lang w:val="en-US" w:eastAsia="zh-CN"/>
        </w:rPr>
        <w:t>或完成质量较差的情况</w:t>
      </w:r>
      <w:r>
        <w:rPr>
          <w:rFonts w:hint="default" w:ascii="Times New Roman" w:hAnsi="Times New Roman" w:eastAsia="方正仿宋_GB2312" w:cs="Times New Roman"/>
          <w:sz w:val="32"/>
          <w:szCs w:val="32"/>
          <w:lang w:val="en-US" w:eastAsia="zh-CN"/>
        </w:rPr>
        <w:t>，启动</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红黄牌</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预警机制，由</w:t>
      </w:r>
      <w:r>
        <w:rPr>
          <w:rFonts w:hint="eastAsia" w:ascii="Times New Roman" w:hAnsi="Times New Roman" w:eastAsia="方正仿宋_GB2312" w:cs="Times New Roman"/>
          <w:sz w:val="32"/>
          <w:szCs w:val="32"/>
          <w:lang w:val="en-US" w:eastAsia="zh-CN"/>
        </w:rPr>
        <w:t>工作</w:t>
      </w:r>
      <w:r>
        <w:rPr>
          <w:rFonts w:hint="default" w:ascii="Times New Roman" w:hAnsi="Times New Roman" w:eastAsia="方正仿宋_GB2312" w:cs="Times New Roman"/>
          <w:sz w:val="32"/>
          <w:szCs w:val="32"/>
          <w:lang w:val="en-US" w:eastAsia="zh-CN"/>
        </w:rPr>
        <w:t>组介入</w:t>
      </w:r>
      <w:r>
        <w:rPr>
          <w:rFonts w:hint="eastAsia" w:ascii="Times New Roman" w:hAnsi="Times New Roman" w:eastAsia="方正仿宋_GB2312" w:cs="Times New Roman"/>
          <w:sz w:val="32"/>
          <w:szCs w:val="32"/>
          <w:lang w:val="en-US" w:eastAsia="zh-CN"/>
        </w:rPr>
        <w:t>约谈和</w:t>
      </w:r>
      <w:r>
        <w:rPr>
          <w:rFonts w:hint="default" w:ascii="Times New Roman" w:hAnsi="Times New Roman" w:eastAsia="方正仿宋_GB2312" w:cs="Times New Roman"/>
          <w:sz w:val="32"/>
          <w:szCs w:val="32"/>
          <w:lang w:val="en-US" w:eastAsia="zh-CN"/>
        </w:rPr>
        <w:t>整改</w:t>
      </w:r>
      <w:r>
        <w:rPr>
          <w:rFonts w:hint="eastAsia" w:ascii="Times New Roman" w:hAnsi="Times New Roman" w:eastAsia="方正仿宋_GB2312" w:cs="Times New Roman"/>
          <w:sz w:val="32"/>
          <w:szCs w:val="32"/>
          <w:lang w:val="en-US" w:eastAsia="zh-CN"/>
        </w:rPr>
        <w:t>，确保培训质量和进度</w:t>
      </w:r>
      <w:r>
        <w:rPr>
          <w:rFonts w:hint="default" w:ascii="Times New Roman" w:hAnsi="Times New Roman" w:eastAsia="方正仿宋_GB2312" w:cs="Times New Roman"/>
          <w:sz w:val="32"/>
          <w:szCs w:val="32"/>
          <w:lang w:val="en-US" w:eastAsia="zh-CN"/>
        </w:rPr>
        <w:t>。</w:t>
      </w:r>
    </w:p>
    <w:p w14:paraId="6FF52A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（三）激励机制</w:t>
      </w:r>
    </w:p>
    <w:p w14:paraId="79167C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1.优秀成果评比</w:t>
      </w:r>
    </w:p>
    <w:p w14:paraId="64D4A9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邀请评审专家对学员培训过程中产生的所有培训成果文件按类别进行分项评比，如人培方案及课标制作类、课程整体设计类、课程单元设计类、教案设计类、评价方案设计类、无生说课类、有效课堂说课类、质量与持续改进说课类等，共设8个奖项，每个奖项按一等奖（10%）、二等奖（20%）、三等奖（30%）进行奖励，对获奖学员颁发荣誉证书及奖金，具体标准参照学校《科技文化艺术体育技能竞赛管理办法》。</w:t>
      </w:r>
    </w:p>
    <w:p w14:paraId="36FFD6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2.优秀学员评比</w:t>
      </w:r>
    </w:p>
    <w:p w14:paraId="71D627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工作组综合考量青年教师10项实施内容的完成度及优秀率，将综合评分排名前10%的学员评选为优秀学员，颁发荣誉证书及奖金，在学院年度评优评先和职称评定中均优先推荐，树立榜样，激励全体学员积极进取。</w:t>
      </w:r>
    </w:p>
    <w:p w14:paraId="57E5022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通过以上组织保障措施，确保培训项目的高效实施和高质量完成，为学校教学质量的提升提供坚实保障。</w:t>
      </w:r>
    </w:p>
    <w:p w14:paraId="7E253A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lang w:val="en-US" w:eastAsia="zh-CN"/>
        </w:rPr>
      </w:pPr>
    </w:p>
    <w:p w14:paraId="30B62848">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简体" w:cs="Times New Roman"/>
          <w:sz w:val="32"/>
          <w:szCs w:val="32"/>
        </w:rPr>
      </w:pPr>
    </w:p>
    <w:p w14:paraId="0A6E152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简体" w:cs="Times New Roman"/>
        </w:rPr>
      </w:pPr>
    </w:p>
    <w:p w14:paraId="36A8E171">
      <w:pPr>
        <w:bidi w:val="0"/>
        <w:rPr>
          <w:rFonts w:hint="default" w:asciiTheme="minorHAnsi" w:hAnsiTheme="minorHAnsi" w:eastAsiaTheme="minorEastAsia" w:cstheme="minorBidi"/>
          <w:kern w:val="2"/>
          <w:sz w:val="21"/>
          <w:szCs w:val="24"/>
          <w:lang w:val="en-US" w:eastAsia="zh-CN" w:bidi="ar-SA"/>
        </w:rPr>
      </w:pPr>
    </w:p>
    <w:p w14:paraId="0F39EE32">
      <w:pPr>
        <w:bidi w:val="0"/>
        <w:rPr>
          <w:rFonts w:hint="default"/>
          <w:lang w:val="en-US" w:eastAsia="zh-CN"/>
        </w:rPr>
      </w:pPr>
    </w:p>
    <w:p w14:paraId="7D793784">
      <w:pPr>
        <w:bidi w:val="0"/>
        <w:rPr>
          <w:rFonts w:hint="default"/>
          <w:lang w:val="en-US" w:eastAsia="zh-CN"/>
        </w:rPr>
      </w:pPr>
    </w:p>
    <w:p w14:paraId="0440A89C">
      <w:pPr>
        <w:bidi w:val="0"/>
        <w:rPr>
          <w:rFonts w:hint="default"/>
          <w:lang w:val="en-US" w:eastAsia="zh-CN"/>
        </w:rPr>
      </w:pPr>
    </w:p>
    <w:p w14:paraId="036A8A51">
      <w:pPr>
        <w:bidi w:val="0"/>
        <w:rPr>
          <w:rFonts w:hint="default"/>
          <w:lang w:val="en-US" w:eastAsia="zh-CN"/>
        </w:rPr>
      </w:pPr>
    </w:p>
    <w:p w14:paraId="5FBF6A17">
      <w:pPr>
        <w:bidi w:val="0"/>
        <w:rPr>
          <w:rFonts w:hint="default"/>
          <w:lang w:val="en-US" w:eastAsia="zh-CN"/>
        </w:rPr>
      </w:pPr>
    </w:p>
    <w:p w14:paraId="26AD1D1F">
      <w:pPr>
        <w:bidi w:val="0"/>
        <w:rPr>
          <w:rFonts w:hint="default"/>
          <w:lang w:val="en-US" w:eastAsia="zh-CN"/>
        </w:rPr>
      </w:pPr>
    </w:p>
    <w:p w14:paraId="6845C6FA">
      <w:pPr>
        <w:bidi w:val="0"/>
        <w:rPr>
          <w:rFonts w:hint="default"/>
          <w:lang w:val="en-US" w:eastAsia="zh-CN"/>
        </w:rPr>
      </w:pPr>
    </w:p>
    <w:p w14:paraId="34594919">
      <w:pPr>
        <w:bidi w:val="0"/>
        <w:rPr>
          <w:rFonts w:hint="default"/>
          <w:lang w:val="en-US" w:eastAsia="zh-CN"/>
        </w:rPr>
      </w:pPr>
    </w:p>
    <w:p w14:paraId="602DEDA3">
      <w:pPr>
        <w:bidi w:val="0"/>
        <w:rPr>
          <w:rFonts w:hint="default"/>
          <w:lang w:val="en-US" w:eastAsia="zh-CN"/>
        </w:rPr>
      </w:pPr>
    </w:p>
    <w:p w14:paraId="6EF0ACA7">
      <w:pPr>
        <w:bidi w:val="0"/>
        <w:rPr>
          <w:rFonts w:hint="default"/>
          <w:lang w:val="en-US" w:eastAsia="zh-CN"/>
        </w:rPr>
      </w:pPr>
    </w:p>
    <w:p w14:paraId="7CBF06E0">
      <w:pPr>
        <w:bidi w:val="0"/>
        <w:rPr>
          <w:rFonts w:hint="default"/>
          <w:lang w:val="en-US" w:eastAsia="zh-CN"/>
        </w:rPr>
      </w:pPr>
    </w:p>
    <w:p w14:paraId="2DAAEE65">
      <w:pPr>
        <w:bidi w:val="0"/>
        <w:rPr>
          <w:rFonts w:hint="default"/>
          <w:lang w:val="en-US" w:eastAsia="zh-CN"/>
        </w:rPr>
      </w:pPr>
    </w:p>
    <w:p w14:paraId="0DD48C23">
      <w:pPr>
        <w:bidi w:val="0"/>
        <w:rPr>
          <w:rFonts w:hint="default"/>
          <w:lang w:val="en-US" w:eastAsia="zh-CN"/>
        </w:rPr>
      </w:pPr>
    </w:p>
    <w:p w14:paraId="441CBD11">
      <w:pPr>
        <w:bidi w:val="0"/>
        <w:rPr>
          <w:rFonts w:hint="default"/>
          <w:lang w:val="en-US" w:eastAsia="zh-CN"/>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embedRegular r:id="rId1" w:fontKey="{D906263B-3F64-4416-80A5-5692DB68147E}"/>
  </w:font>
  <w:font w:name="宋体">
    <w:panose1 w:val="02010600030101010101"/>
    <w:charset w:val="86"/>
    <w:family w:val="auto"/>
    <w:pitch w:val="default"/>
    <w:sig w:usb0="00000203" w:usb1="288F0000" w:usb2="00000006" w:usb3="00000000" w:csb0="00040001" w:csb1="00000000"/>
    <w:embedRegular r:id="rId2" w:fontKey="{084D0485-28BD-4037-B8F7-38FC59C21E95}"/>
  </w:font>
  <w:font w:name="Wingdings">
    <w:panose1 w:val="05000000000000000000"/>
    <w:charset w:val="02"/>
    <w:family w:val="auto"/>
    <w:pitch w:val="default"/>
    <w:sig w:usb0="00000000" w:usb1="00000000" w:usb2="00000000" w:usb3="00000000" w:csb0="80000000" w:csb1="00000000"/>
    <w:embedRegular r:id="rId3" w:fontKey="{4FDCF903-DCCE-41FE-BB18-B7A7BEC46821}"/>
  </w:font>
  <w:font w:name="Arial">
    <w:panose1 w:val="020B0604020202020204"/>
    <w:charset w:val="01"/>
    <w:family w:val="swiss"/>
    <w:pitch w:val="default"/>
    <w:sig w:usb0="E0002EFF" w:usb1="C000785B" w:usb2="00000009" w:usb3="00000000" w:csb0="400001FF" w:csb1="FFFF0000"/>
    <w:embedRegular r:id="rId4" w:fontKey="{15183ACD-1C38-4DED-AC4F-B466BA3F9AF8}"/>
  </w:font>
  <w:font w:name="黑体">
    <w:panose1 w:val="02010609060101010101"/>
    <w:charset w:val="86"/>
    <w:family w:val="auto"/>
    <w:pitch w:val="default"/>
    <w:sig w:usb0="800002BF" w:usb1="38CF7CFA" w:usb2="00000016" w:usb3="00000000" w:csb0="00040001" w:csb1="00000000"/>
    <w:embedRegular r:id="rId5" w:fontKey="{6B4A6269-BC3C-4196-A326-EFC5303CBC99}"/>
  </w:font>
  <w:font w:name="Courier New">
    <w:panose1 w:val="02070309020205020404"/>
    <w:charset w:val="01"/>
    <w:family w:val="modern"/>
    <w:pitch w:val="default"/>
    <w:sig w:usb0="E0002EFF" w:usb1="C0007843" w:usb2="00000009" w:usb3="00000000" w:csb0="400001FF" w:csb1="FFFF0000"/>
    <w:embedRegular r:id="rId6" w:fontKey="{829BBFBB-11E8-4187-B8AE-A2BBB84D4F14}"/>
  </w:font>
  <w:font w:name="Symbol">
    <w:panose1 w:val="05050102010706020507"/>
    <w:charset w:val="02"/>
    <w:family w:val="roman"/>
    <w:pitch w:val="default"/>
    <w:sig w:usb0="00000000" w:usb1="00000000" w:usb2="00000000" w:usb3="00000000" w:csb0="80000000" w:csb1="00000000"/>
    <w:embedRegular r:id="rId7" w:fontKey="{7E969021-8BCD-4C45-A7DB-5C1330294A67}"/>
  </w:font>
  <w:font w:name="Calibri">
    <w:panose1 w:val="020F0502020204030204"/>
    <w:charset w:val="00"/>
    <w:family w:val="swiss"/>
    <w:pitch w:val="default"/>
    <w:sig w:usb0="E4002EFF" w:usb1="C200247B" w:usb2="00000009" w:usb3="00000000" w:csb0="200001FF" w:csb1="00000000"/>
    <w:embedRegular r:id="rId8" w:fontKey="{6207A04F-D3F0-4210-B0F2-D930F2413481}"/>
  </w:font>
  <w:font w:name="方正公文小标宋">
    <w:panose1 w:val="02000500000000000000"/>
    <w:charset w:val="86"/>
    <w:family w:val="auto"/>
    <w:pitch w:val="default"/>
    <w:sig w:usb0="A00002BF" w:usb1="38CF7CFA" w:usb2="00000016" w:usb3="00000000" w:csb0="00040001" w:csb1="00000000"/>
    <w:embedRegular r:id="rId9" w:fontKey="{89BBF73D-CBFF-4D6D-AD77-8C93F3DA7253}"/>
  </w:font>
  <w:font w:name="方正仿宋简体">
    <w:altName w:val="微软雅黑"/>
    <w:panose1 w:val="03000509000000000000"/>
    <w:charset w:val="86"/>
    <w:family w:val="auto"/>
    <w:pitch w:val="default"/>
    <w:sig w:usb0="00000000" w:usb1="00000000" w:usb2="00000000" w:usb3="00000000" w:csb0="00040000" w:csb1="00000000"/>
    <w:embedRegular r:id="rId10" w:fontKey="{E0813FCB-678B-495D-9528-11310F219B56}"/>
  </w:font>
  <w:font w:name="微软雅黑">
    <w:panose1 w:val="020B0503020204020204"/>
    <w:charset w:val="86"/>
    <w:family w:val="auto"/>
    <w:pitch w:val="default"/>
    <w:sig w:usb0="80000287" w:usb1="2ACF3C50" w:usb2="00000016" w:usb3="00000000" w:csb0="0004001F" w:csb1="00000000"/>
  </w:font>
  <w:font w:name="方正楷体_GB2312">
    <w:panose1 w:val="02000000000000000000"/>
    <w:charset w:val="86"/>
    <w:family w:val="auto"/>
    <w:pitch w:val="default"/>
    <w:sig w:usb0="A00002BF" w:usb1="184F6CFA" w:usb2="00000012" w:usb3="00000000" w:csb0="00040001" w:csb1="00000000"/>
    <w:embedRegular r:id="rId11" w:fontKey="{4640B6B3-70DA-468F-B18D-22D4B8C566C8}"/>
  </w:font>
  <w:font w:name="方正仿宋_GB2312">
    <w:panose1 w:val="02000000000000000000"/>
    <w:charset w:val="86"/>
    <w:family w:val="auto"/>
    <w:pitch w:val="default"/>
    <w:sig w:usb0="A00002BF" w:usb1="184F6CFA" w:usb2="00000012" w:usb3="00000000" w:csb0="00040001" w:csb1="00000000"/>
    <w:embedRegular r:id="rId12" w:fontKey="{2920B803-034F-4762-96E7-59EF4747EA1C}"/>
  </w:font>
  <w:font w:name="方正楷体_GBK">
    <w:panose1 w:val="02000000000000000000"/>
    <w:charset w:val="86"/>
    <w:family w:val="script"/>
    <w:pitch w:val="default"/>
    <w:sig w:usb0="800002BF" w:usb1="38CF7CFA" w:usb2="00000016" w:usb3="00000000" w:csb0="00040000" w:csb1="00000000"/>
    <w:embedRegular r:id="rId13" w:fontKey="{B0AF5A93-FA10-4621-9624-5B08FC4F6BC0}"/>
  </w:font>
  <w:font w:name="Tahoma">
    <w:panose1 w:val="020B0604030504040204"/>
    <w:charset w:val="00"/>
    <w:family w:val="auto"/>
    <w:pitch w:val="default"/>
    <w:sig w:usb0="E1002EFF" w:usb1="C000605B" w:usb2="00000029" w:usb3="00000000" w:csb0="200101FF" w:csb1="20280000"/>
    <w:embedRegular r:id="rId14" w:fontKey="{B3CD220B-2B6D-42C8-A460-498C6CBBD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1DFA8">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303D0">
                          <w:pPr>
                            <w:pStyle w:val="2"/>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A2303D0">
                    <w:pPr>
                      <w:pStyle w:val="2"/>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6CD382"/>
    <w:multiLevelType w:val="singleLevel"/>
    <w:tmpl w:val="4F6CD38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oNotDisplayPageBoundaries w:val="1"/>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mOTdmNzQwMzFlZDA2OGQ3MmFjY2Y0YTE1ZTYzYmQifQ=="/>
  </w:docVars>
  <w:rsids>
    <w:rsidRoot w:val="00B671C6"/>
    <w:rsid w:val="000046E3"/>
    <w:rsid w:val="000A2195"/>
    <w:rsid w:val="000B70BB"/>
    <w:rsid w:val="00331802"/>
    <w:rsid w:val="003F3F05"/>
    <w:rsid w:val="004A17FA"/>
    <w:rsid w:val="006A7D09"/>
    <w:rsid w:val="00733966"/>
    <w:rsid w:val="0087163E"/>
    <w:rsid w:val="00A059C7"/>
    <w:rsid w:val="00B671C6"/>
    <w:rsid w:val="00BF69A7"/>
    <w:rsid w:val="00C170AF"/>
    <w:rsid w:val="040556DD"/>
    <w:rsid w:val="0D444F18"/>
    <w:rsid w:val="0ED1514E"/>
    <w:rsid w:val="125A3098"/>
    <w:rsid w:val="130C25E4"/>
    <w:rsid w:val="14985A05"/>
    <w:rsid w:val="22F664C5"/>
    <w:rsid w:val="2ADD22E6"/>
    <w:rsid w:val="2CF577ED"/>
    <w:rsid w:val="2D7352E2"/>
    <w:rsid w:val="30D047F9"/>
    <w:rsid w:val="32911D66"/>
    <w:rsid w:val="34897C74"/>
    <w:rsid w:val="3AD35612"/>
    <w:rsid w:val="3B261E1B"/>
    <w:rsid w:val="41C7034B"/>
    <w:rsid w:val="42C27D1A"/>
    <w:rsid w:val="43562F18"/>
    <w:rsid w:val="491A4480"/>
    <w:rsid w:val="495E56F3"/>
    <w:rsid w:val="4A2D19BE"/>
    <w:rsid w:val="4A4E14F1"/>
    <w:rsid w:val="4EA3073F"/>
    <w:rsid w:val="5CEF3C87"/>
    <w:rsid w:val="5DD15589"/>
    <w:rsid w:val="5EB26040"/>
    <w:rsid w:val="5F434264"/>
    <w:rsid w:val="64044275"/>
    <w:rsid w:val="660A5ADC"/>
    <w:rsid w:val="66BB7049"/>
    <w:rsid w:val="67441712"/>
    <w:rsid w:val="6BAC3463"/>
    <w:rsid w:val="72984F76"/>
    <w:rsid w:val="736B748E"/>
    <w:rsid w:val="76362FE2"/>
    <w:rsid w:val="7904015C"/>
    <w:rsid w:val="7DA00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5147</Words>
  <Characters>5390</Characters>
  <Lines>11</Lines>
  <Paragraphs>3</Paragraphs>
  <TotalTime>94</TotalTime>
  <ScaleCrop>false</ScaleCrop>
  <LinksUpToDate>false</LinksUpToDate>
  <CharactersWithSpaces>5390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2025-03-04T00:42:00Z</dcterms:created>
  <dc:creator>93310</dc:creator>
  <cp:lastModifiedBy>过河小卒</cp:lastModifiedBy>
  <dcterms:modified xsi:type="dcterms:W3CDTF">2025-09-01T07:13:02Z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eyJoZGlkIjoiOWI0NDk1ZTgwNDZlMTBkMTRkNjViZmI0NDNiZjg5M2IiLCJ1c2VySWQiOiI1NjM0Mzc2MDkifQ==</vt:lpwstr>
  </property>
  <property fmtid="{D5CDD505-2E9C-101B-9397-08002B2CF9AE}" pid="4" name="ICV">
    <vt:lpwstr>187CA78C2DE2409BBB61EC68A89F45FC_13</vt:lpwstr>
  </property>
</Properties>
</file>